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099C3">
      <w:pPr>
        <w:keepNext w:val="0"/>
        <w:keepLines w:val="0"/>
        <w:pageBreakBefore w:val="0"/>
        <w:widowControl w:val="0"/>
        <w:kinsoku/>
        <w:wordWrap/>
        <w:overflowPunct/>
        <w:topLinePunct w:val="0"/>
        <w:autoSpaceDE/>
        <w:autoSpaceDN/>
        <w:bidi w:val="0"/>
        <w:adjustRightInd/>
        <w:snapToGrid/>
        <w:spacing w:after="0" w:afterLines="0" w:afterAutospacing="0" w:line="60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14:paraId="003FEF0A">
      <w:pPr>
        <w:keepNext w:val="0"/>
        <w:keepLines w:val="0"/>
        <w:pageBreakBefore w:val="0"/>
        <w:widowControl w:val="0"/>
        <w:kinsoku/>
        <w:wordWrap/>
        <w:overflowPunct/>
        <w:topLinePunct w:val="0"/>
        <w:autoSpaceDE/>
        <w:autoSpaceDN/>
        <w:bidi w:val="0"/>
        <w:adjustRightInd/>
        <w:snapToGrid/>
        <w:spacing w:after="0" w:afterLines="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Style w:val="11"/>
          <w:rFonts w:hint="eastAsia" w:ascii="方正小标宋简体" w:hAnsi="方正小标宋简体" w:eastAsia="方正小标宋简体" w:cs="方正小标宋简体"/>
          <w:b w:val="0"/>
          <w:bCs/>
          <w:i w:val="0"/>
          <w:caps w:val="0"/>
          <w:color w:val="000000"/>
          <w:spacing w:val="0"/>
          <w:w w:val="100"/>
          <w:kern w:val="2"/>
          <w:sz w:val="44"/>
          <w:szCs w:val="44"/>
          <w:lang w:val="en-US" w:eastAsia="zh-CN"/>
        </w:rPr>
        <w:t>薛村镇2026年安全生产治本攻坚重点工作任务清单及责任分工</w:t>
      </w:r>
    </w:p>
    <w:tbl>
      <w:tblPr>
        <w:tblStyle w:val="7"/>
        <w:tblW w:w="52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7961"/>
        <w:gridCol w:w="2942"/>
        <w:gridCol w:w="1124"/>
      </w:tblGrid>
      <w:tr w14:paraId="7EFC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05" w:type="pct"/>
            <w:noWrap w:val="0"/>
            <w:vAlign w:val="center"/>
          </w:tcPr>
          <w:p w14:paraId="3944AC5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行动类别</w:t>
            </w:r>
          </w:p>
        </w:tc>
        <w:tc>
          <w:tcPr>
            <w:tcW w:w="2909" w:type="pct"/>
            <w:noWrap w:val="0"/>
            <w:vAlign w:val="center"/>
          </w:tcPr>
          <w:p w14:paraId="594F21B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目标措施</w:t>
            </w:r>
          </w:p>
        </w:tc>
        <w:tc>
          <w:tcPr>
            <w:tcW w:w="1075" w:type="pct"/>
            <w:noWrap w:val="0"/>
            <w:vAlign w:val="center"/>
          </w:tcPr>
          <w:p w14:paraId="2E748F8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责任单位</w:t>
            </w:r>
          </w:p>
        </w:tc>
        <w:tc>
          <w:tcPr>
            <w:tcW w:w="410" w:type="pct"/>
            <w:noWrap w:val="0"/>
            <w:vAlign w:val="center"/>
          </w:tcPr>
          <w:p w14:paraId="211D8AFC">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进展情况</w:t>
            </w:r>
          </w:p>
        </w:tc>
      </w:tr>
      <w:tr w14:paraId="272E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jc w:val="center"/>
        </w:trPr>
        <w:tc>
          <w:tcPr>
            <w:tcW w:w="605" w:type="pct"/>
            <w:noWrap w:val="0"/>
            <w:vAlign w:val="center"/>
          </w:tcPr>
          <w:p w14:paraId="25D19A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（一）生产经营单位主要负责人安全教育培训行动</w:t>
            </w:r>
          </w:p>
        </w:tc>
        <w:tc>
          <w:tcPr>
            <w:tcW w:w="2909" w:type="pct"/>
            <w:noWrap w:val="0"/>
            <w:vAlign w:val="center"/>
          </w:tcPr>
          <w:p w14:paraId="79D0C06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1.企业主要负责人安全教育培训覆盖率100%。</w:t>
            </w:r>
          </w:p>
        </w:tc>
        <w:tc>
          <w:tcPr>
            <w:tcW w:w="1075" w:type="pct"/>
            <w:noWrap w:val="0"/>
            <w:vAlign w:val="center"/>
          </w:tcPr>
          <w:p w14:paraId="02FEC74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镇安委会有关成员单位</w:t>
            </w:r>
          </w:p>
          <w:p w14:paraId="12FCF699">
            <w:pPr>
              <w:jc w:val="left"/>
              <w:rPr>
                <w:rFonts w:hint="eastAsia" w:ascii="仿宋_GB2312" w:hAnsi="仿宋_GB2312" w:eastAsia="仿宋_GB2312" w:cs="仿宋_GB2312"/>
                <w:i w:val="0"/>
                <w:iCs w:val="0"/>
                <w:color w:val="000000"/>
                <w:sz w:val="20"/>
                <w:szCs w:val="20"/>
                <w:u w:val="none"/>
              </w:rPr>
            </w:pPr>
          </w:p>
        </w:tc>
        <w:tc>
          <w:tcPr>
            <w:tcW w:w="410" w:type="pct"/>
            <w:noWrap w:val="0"/>
            <w:vAlign w:val="center"/>
          </w:tcPr>
          <w:p w14:paraId="17D677BA">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1D42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605" w:type="pct"/>
            <w:vMerge w:val="restart"/>
            <w:noWrap w:val="0"/>
            <w:vAlign w:val="center"/>
          </w:tcPr>
          <w:p w14:paraId="4C4D28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（二）生产经营单位从业人员安全素质能力提升行动</w:t>
            </w:r>
          </w:p>
        </w:tc>
        <w:tc>
          <w:tcPr>
            <w:tcW w:w="2909" w:type="pct"/>
            <w:noWrap w:val="0"/>
            <w:vAlign w:val="center"/>
          </w:tcPr>
          <w:p w14:paraId="6E1410C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2.督促生产经营单位将重大事故隐患排查判定标准和有关要求作为从业人员安全培训、考核的重要内容。企业从业人员安全技能培训覆盖率100%。</w:t>
            </w:r>
          </w:p>
        </w:tc>
        <w:tc>
          <w:tcPr>
            <w:tcW w:w="1075" w:type="pct"/>
            <w:noWrap w:val="0"/>
            <w:vAlign w:val="center"/>
          </w:tcPr>
          <w:p w14:paraId="1691E8CC">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0"/>
            <w:vAlign w:val="center"/>
          </w:tcPr>
          <w:p w14:paraId="50AD56EA">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0913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605" w:type="pct"/>
            <w:vMerge w:val="continue"/>
            <w:noWrap w:val="0"/>
            <w:vAlign w:val="center"/>
          </w:tcPr>
          <w:p w14:paraId="0A319350">
            <w:pPr>
              <w:jc w:val="center"/>
              <w:rPr>
                <w:rFonts w:hint="eastAsia" w:ascii="仿宋_GB2312" w:hAnsi="仿宋_GB2312" w:eastAsia="仿宋_GB2312" w:cs="仿宋_GB2312"/>
                <w:i w:val="0"/>
                <w:iCs w:val="0"/>
                <w:color w:val="000000"/>
                <w:sz w:val="20"/>
                <w:szCs w:val="20"/>
                <w:u w:val="none"/>
              </w:rPr>
            </w:pPr>
          </w:p>
        </w:tc>
        <w:tc>
          <w:tcPr>
            <w:tcW w:w="2909" w:type="pct"/>
            <w:noWrap w:val="0"/>
            <w:vAlign w:val="center"/>
          </w:tcPr>
          <w:p w14:paraId="24C3E87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3.常态化开展逢查必考，对考核不合格人员必须重新组织脱产培训，督促生产经营单位切实提升安全培训质量。</w:t>
            </w:r>
          </w:p>
        </w:tc>
        <w:tc>
          <w:tcPr>
            <w:tcW w:w="1075" w:type="pct"/>
            <w:noWrap w:val="0"/>
            <w:vAlign w:val="center"/>
          </w:tcPr>
          <w:p w14:paraId="734113DE">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0"/>
            <w:vAlign w:val="center"/>
          </w:tcPr>
          <w:p w14:paraId="6BEC3FC1">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20A4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605" w:type="pct"/>
            <w:vMerge w:val="continue"/>
            <w:noWrap w:val="0"/>
            <w:vAlign w:val="center"/>
          </w:tcPr>
          <w:p w14:paraId="7D85C622">
            <w:pPr>
              <w:jc w:val="center"/>
              <w:rPr>
                <w:rFonts w:hint="eastAsia" w:ascii="仿宋_GB2312" w:hAnsi="仿宋_GB2312" w:eastAsia="仿宋_GB2312" w:cs="仿宋_GB2312"/>
                <w:i w:val="0"/>
                <w:iCs w:val="0"/>
                <w:color w:val="000000"/>
                <w:sz w:val="20"/>
                <w:szCs w:val="20"/>
                <w:u w:val="none"/>
              </w:rPr>
            </w:pPr>
          </w:p>
        </w:tc>
        <w:tc>
          <w:tcPr>
            <w:tcW w:w="2909" w:type="pct"/>
            <w:noWrap w:val="0"/>
            <w:vAlign w:val="center"/>
          </w:tcPr>
          <w:p w14:paraId="1DB01B8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加强对外包外租等关联单位的安全生产指导、监督，将外包外租从业人员、劳务派遣人员、灵活用工人员纳入本单位统一安全培训、统一落实全员责任、统一安全检查，切实提升有关从业人员的安全素质和能力。</w:t>
            </w:r>
          </w:p>
        </w:tc>
        <w:tc>
          <w:tcPr>
            <w:tcW w:w="1075" w:type="pct"/>
            <w:noWrap w:val="0"/>
            <w:vAlign w:val="center"/>
          </w:tcPr>
          <w:p w14:paraId="21FE4E72">
            <w:pPr>
              <w:jc w:val="left"/>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0"/>
            <w:vAlign w:val="center"/>
          </w:tcPr>
          <w:p w14:paraId="7E10647D">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760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605" w:type="pct"/>
            <w:vMerge w:val="continue"/>
            <w:noWrap w:val="0"/>
            <w:vAlign w:val="center"/>
          </w:tcPr>
          <w:p w14:paraId="410A13AE">
            <w:pPr>
              <w:jc w:val="center"/>
              <w:rPr>
                <w:rFonts w:hint="eastAsia" w:ascii="仿宋_GB2312" w:hAnsi="仿宋_GB2312" w:eastAsia="仿宋_GB2312" w:cs="仿宋_GB2312"/>
                <w:i w:val="0"/>
                <w:iCs w:val="0"/>
                <w:color w:val="000000"/>
                <w:sz w:val="20"/>
                <w:szCs w:val="20"/>
                <w:u w:val="none"/>
              </w:rPr>
            </w:pPr>
          </w:p>
        </w:tc>
        <w:tc>
          <w:tcPr>
            <w:tcW w:w="2909" w:type="pct"/>
            <w:noWrap w:val="0"/>
            <w:vAlign w:val="center"/>
          </w:tcPr>
          <w:p w14:paraId="1D9CA19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各生产经营单位以实训为主，常态化组织开展“三违”事故警示教育、应急演练、自救互救等培训。对“三违”人员开展脱产培训，经考试合格后方可重新上岗。每年分别至少集中开展1次疏散逃生演练（高危行业领域每半年至少1次）。</w:t>
            </w:r>
          </w:p>
        </w:tc>
        <w:tc>
          <w:tcPr>
            <w:tcW w:w="1075" w:type="pct"/>
            <w:noWrap w:val="0"/>
            <w:vAlign w:val="center"/>
          </w:tcPr>
          <w:p w14:paraId="275520D1">
            <w:pPr>
              <w:jc w:val="left"/>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0"/>
            <w:vAlign w:val="center"/>
          </w:tcPr>
          <w:p w14:paraId="7F193140">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6B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605" w:type="pct"/>
            <w:vMerge w:val="continue"/>
            <w:noWrap w:val="0"/>
            <w:vAlign w:val="center"/>
          </w:tcPr>
          <w:p w14:paraId="61F22A19">
            <w:pPr>
              <w:jc w:val="center"/>
              <w:rPr>
                <w:rFonts w:hint="eastAsia" w:ascii="仿宋_GB2312" w:hAnsi="仿宋_GB2312" w:eastAsia="仿宋_GB2312" w:cs="仿宋_GB2312"/>
                <w:i w:val="0"/>
                <w:iCs w:val="0"/>
                <w:color w:val="000000"/>
                <w:sz w:val="20"/>
                <w:szCs w:val="20"/>
                <w:u w:val="none"/>
              </w:rPr>
            </w:pPr>
          </w:p>
        </w:tc>
        <w:tc>
          <w:tcPr>
            <w:tcW w:w="2909" w:type="pct"/>
            <w:noWrap w:val="0"/>
            <w:vAlign w:val="center"/>
          </w:tcPr>
          <w:p w14:paraId="2FD610B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6.推动矿山、危化、建筑、交通、金属冶炼等高危行业生产经营单位依法建设安全生产应急救援队伍，满足安全风险防范和事故抢险救援需要。</w:t>
            </w:r>
          </w:p>
        </w:tc>
        <w:tc>
          <w:tcPr>
            <w:tcW w:w="1075" w:type="pct"/>
            <w:noWrap w:val="0"/>
            <w:vAlign w:val="center"/>
          </w:tcPr>
          <w:p w14:paraId="393240E5">
            <w:pPr>
              <w:jc w:val="left"/>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社会事务办、经济发展办</w:t>
            </w:r>
          </w:p>
        </w:tc>
        <w:tc>
          <w:tcPr>
            <w:tcW w:w="410" w:type="pct"/>
            <w:noWrap w:val="0"/>
            <w:vAlign w:val="center"/>
          </w:tcPr>
          <w:p w14:paraId="3ACAB63D">
            <w:pPr>
              <w:jc w:val="left"/>
              <w:rPr>
                <w:rFonts w:hint="eastAsia" w:ascii="仿宋_GB2312" w:hAnsi="仿宋_GB2312" w:eastAsia="仿宋_GB2312" w:cs="仿宋_GB2312"/>
                <w:i w:val="0"/>
                <w:iCs w:val="0"/>
                <w:color w:val="000000"/>
                <w:sz w:val="20"/>
                <w:szCs w:val="20"/>
                <w:u w:val="none"/>
                <w:lang w:eastAsia="zh-CN"/>
              </w:rPr>
            </w:pPr>
          </w:p>
        </w:tc>
      </w:tr>
      <w:tr w14:paraId="25D8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5" w:type="pct"/>
            <w:vMerge w:val="restart"/>
            <w:noWrap/>
            <w:vAlign w:val="center"/>
          </w:tcPr>
          <w:p w14:paraId="480417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（三）开展生产经营单位安全管理体系建设行动</w:t>
            </w:r>
          </w:p>
        </w:tc>
        <w:tc>
          <w:tcPr>
            <w:tcW w:w="2909" w:type="pct"/>
            <w:noWrap/>
            <w:vAlign w:val="center"/>
          </w:tcPr>
          <w:p w14:paraId="2B1212E6">
            <w:pPr>
              <w:keepNext w:val="0"/>
              <w:keepLines w:val="0"/>
              <w:widowControl/>
              <w:suppressLineNumbers w:val="0"/>
              <w:jc w:val="left"/>
              <w:textAlignment w:val="center"/>
              <w:rPr>
                <w:rFonts w:hint="eastAsia" w:ascii="仿宋_GB2312" w:hAnsi="仿宋_GB2312" w:eastAsia="仿宋_GB2312" w:cs="仿宋_GB2312"/>
                <w:i w:val="0"/>
                <w:iCs w:val="0"/>
                <w:strike/>
                <w:color w:val="000000"/>
                <w:kern w:val="2"/>
                <w:sz w:val="20"/>
                <w:szCs w:val="20"/>
                <w:u w:val="none"/>
                <w:lang w:val="en-US" w:eastAsia="zh-CN" w:bidi="ar-SA"/>
              </w:rPr>
            </w:pPr>
            <w:r>
              <w:rPr>
                <w:rFonts w:hint="eastAsia" w:ascii="仿宋_GB2312" w:hAnsi="仿宋_GB2312" w:eastAsia="仿宋_GB2312" w:cs="仿宋_GB2312"/>
                <w:i w:val="0"/>
                <w:iCs w:val="0"/>
                <w:strike w:val="0"/>
                <w:color w:val="000000"/>
                <w:kern w:val="0"/>
                <w:sz w:val="20"/>
                <w:szCs w:val="20"/>
                <w:u w:val="none"/>
                <w:lang w:val="en-US" w:eastAsia="zh-CN" w:bidi="ar"/>
              </w:rPr>
              <w:t>7.</w:t>
            </w:r>
            <w:r>
              <w:rPr>
                <w:rFonts w:hint="eastAsia" w:ascii="仿宋_GB2312" w:hAnsi="仿宋_GB2312" w:eastAsia="仿宋_GB2312" w:cs="仿宋_GB2312"/>
                <w:i w:val="0"/>
                <w:iCs w:val="0"/>
                <w:color w:val="000000"/>
                <w:kern w:val="0"/>
                <w:sz w:val="20"/>
                <w:szCs w:val="20"/>
                <w:u w:val="none"/>
                <w:lang w:val="en-US" w:eastAsia="zh-CN" w:bidi="ar"/>
              </w:rPr>
              <w:t>积极引导大中型、小微企业对照国家标准要求创建安全生产标准化管理体系。</w:t>
            </w:r>
          </w:p>
        </w:tc>
        <w:tc>
          <w:tcPr>
            <w:tcW w:w="1075" w:type="pct"/>
            <w:noWrap/>
            <w:vAlign w:val="center"/>
          </w:tcPr>
          <w:p w14:paraId="04DD401B">
            <w:pPr>
              <w:jc w:val="left"/>
              <w:rPr>
                <w:rFonts w:hint="eastAsia" w:ascii="仿宋_GB2312" w:hAnsi="仿宋_GB2312" w:eastAsia="仿宋_GB2312" w:cs="仿宋_GB2312"/>
                <w:i w:val="0"/>
                <w:iCs w:val="0"/>
                <w:strike/>
                <w:color w:val="000000"/>
                <w:kern w:val="2"/>
                <w:sz w:val="24"/>
                <w:szCs w:val="24"/>
                <w:u w:val="none"/>
                <w:lang w:val="en-US" w:eastAsia="zh-CN" w:bidi="ar-SA"/>
              </w:rPr>
            </w:pPr>
            <w:r>
              <w:rPr>
                <w:rFonts w:hint="eastAsia" w:ascii="仿宋_GB2312" w:hAnsi="仿宋_GB2312" w:eastAsia="仿宋_GB2312" w:cs="仿宋_GB2312"/>
                <w:i w:val="0"/>
                <w:iCs w:val="0"/>
                <w:strike w:val="0"/>
                <w:color w:val="000000"/>
                <w:kern w:val="0"/>
                <w:sz w:val="20"/>
                <w:szCs w:val="20"/>
                <w:u w:val="none"/>
                <w:lang w:val="en-US" w:eastAsia="zh-CN" w:bidi="ar"/>
              </w:rPr>
              <w:t>负有安全生产监管职责的部门</w:t>
            </w:r>
          </w:p>
        </w:tc>
        <w:tc>
          <w:tcPr>
            <w:tcW w:w="410" w:type="pct"/>
            <w:noWrap/>
            <w:vAlign w:val="center"/>
          </w:tcPr>
          <w:p w14:paraId="3E5F3822">
            <w:pPr>
              <w:jc w:val="left"/>
              <w:rPr>
                <w:rFonts w:hint="eastAsia" w:ascii="仿宋_GB2312" w:hAnsi="仿宋_GB2312" w:eastAsia="仿宋_GB2312" w:cs="仿宋_GB2312"/>
                <w:i w:val="0"/>
                <w:iCs w:val="0"/>
                <w:strike w:val="0"/>
                <w:color w:val="000000"/>
                <w:kern w:val="0"/>
                <w:sz w:val="20"/>
                <w:szCs w:val="20"/>
                <w:u w:val="none"/>
                <w:lang w:val="en-US" w:eastAsia="zh-CN" w:bidi="ar"/>
              </w:rPr>
            </w:pPr>
          </w:p>
        </w:tc>
      </w:tr>
      <w:tr w14:paraId="0800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5" w:type="pct"/>
            <w:vMerge w:val="continue"/>
            <w:noWrap/>
            <w:vAlign w:val="center"/>
          </w:tcPr>
          <w:p w14:paraId="30964B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782D11F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8.大力选树各行业安全生产标准化建设标杆企业单位。</w:t>
            </w:r>
          </w:p>
        </w:tc>
        <w:tc>
          <w:tcPr>
            <w:tcW w:w="1075" w:type="pct"/>
            <w:noWrap/>
            <w:vAlign w:val="center"/>
          </w:tcPr>
          <w:p w14:paraId="76C5869A">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36953E81">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6043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pct"/>
            <w:vMerge w:val="restart"/>
            <w:noWrap/>
            <w:vAlign w:val="center"/>
          </w:tcPr>
          <w:p w14:paraId="5291C4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（四）开展重大事故隐患判定标准体系提升及“一行业一清单”行动</w:t>
            </w:r>
          </w:p>
        </w:tc>
        <w:tc>
          <w:tcPr>
            <w:tcW w:w="2909" w:type="pct"/>
            <w:noWrap/>
            <w:vAlign w:val="center"/>
          </w:tcPr>
          <w:p w14:paraId="6AD5BBF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9.常态化组织开展国家有关部委制修订完善的重大事故隐患判定标准宣贯活动。</w:t>
            </w:r>
          </w:p>
        </w:tc>
        <w:tc>
          <w:tcPr>
            <w:tcW w:w="1075" w:type="pct"/>
            <w:noWrap/>
            <w:vAlign w:val="center"/>
          </w:tcPr>
          <w:p w14:paraId="5E85047C">
            <w:pPr>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135DA4EC">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3A74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05" w:type="pct"/>
            <w:vMerge w:val="continue"/>
            <w:noWrap/>
            <w:vAlign w:val="center"/>
          </w:tcPr>
          <w:p w14:paraId="2081E24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430CE7A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10.督促企业结合重大事故隐患判定标准和“一行业一清单”，制定重大事故隐患判定标准“一企业一清单”。</w:t>
            </w:r>
          </w:p>
        </w:tc>
        <w:tc>
          <w:tcPr>
            <w:tcW w:w="1075" w:type="pct"/>
            <w:noWrap/>
            <w:vAlign w:val="center"/>
          </w:tcPr>
          <w:p w14:paraId="3FA3AEA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433D919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004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05" w:type="pct"/>
            <w:vMerge w:val="restart"/>
            <w:noWrap/>
            <w:vAlign w:val="center"/>
          </w:tcPr>
          <w:p w14:paraId="65A0F0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p w14:paraId="4DC2E5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p w14:paraId="691DB3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（五）开展重大事故隐患动态清零行动</w:t>
            </w:r>
          </w:p>
        </w:tc>
        <w:tc>
          <w:tcPr>
            <w:tcW w:w="2909" w:type="pct"/>
            <w:noWrap/>
            <w:vAlign w:val="center"/>
          </w:tcPr>
          <w:p w14:paraId="100D63E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11.督促健全完善生产经营单位重大事故隐患自查自改常态化机制。</w:t>
            </w:r>
          </w:p>
        </w:tc>
        <w:tc>
          <w:tcPr>
            <w:tcW w:w="1075" w:type="pct"/>
            <w:noWrap/>
            <w:vAlign w:val="center"/>
          </w:tcPr>
          <w:p w14:paraId="37C8702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4ED55BE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761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05" w:type="pct"/>
            <w:vMerge w:val="continue"/>
            <w:noWrap/>
            <w:vAlign w:val="center"/>
          </w:tcPr>
          <w:p w14:paraId="67B166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65220BF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12.建立健全重大事故隐患数据库，完善数据库运行管理机制。</w:t>
            </w:r>
          </w:p>
        </w:tc>
        <w:tc>
          <w:tcPr>
            <w:tcW w:w="1075" w:type="pct"/>
            <w:noWrap/>
            <w:vAlign w:val="center"/>
          </w:tcPr>
          <w:p w14:paraId="53445FE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3989B96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D4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05" w:type="pct"/>
            <w:vMerge w:val="continue"/>
            <w:noWrap/>
            <w:vAlign w:val="center"/>
          </w:tcPr>
          <w:p w14:paraId="2082E4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45B0D53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13.建立健全分区域、分行业重大事故隐患统计分析机制。</w:t>
            </w:r>
          </w:p>
        </w:tc>
        <w:tc>
          <w:tcPr>
            <w:tcW w:w="1075" w:type="pct"/>
            <w:noWrap/>
            <w:vAlign w:val="center"/>
          </w:tcPr>
          <w:p w14:paraId="394AAE3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2C30B05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901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jc w:val="center"/>
        </w:trPr>
        <w:tc>
          <w:tcPr>
            <w:tcW w:w="605" w:type="pct"/>
            <w:vMerge w:val="continue"/>
            <w:noWrap/>
            <w:vAlign w:val="center"/>
          </w:tcPr>
          <w:p w14:paraId="4156B6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36C2033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14.切实提升发现问题和解决问题的强烈意愿和能力水平，提高重大事故隐患排查质效，今年排查发现的重大事故隐患数量不低于去年同期水平，部门每千次检查发现重大事故隐患数、企业自查发现重大事故隐患占比不低于全国平均水平。</w:t>
            </w:r>
          </w:p>
        </w:tc>
        <w:tc>
          <w:tcPr>
            <w:tcW w:w="1075" w:type="pct"/>
            <w:noWrap/>
            <w:vAlign w:val="center"/>
          </w:tcPr>
          <w:p w14:paraId="2DA0B26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54FE87F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13C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605" w:type="pct"/>
            <w:vMerge w:val="continue"/>
            <w:noWrap/>
            <w:vAlign w:val="center"/>
          </w:tcPr>
          <w:p w14:paraId="041C3E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7FE43BC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15.督促企业按集团公司季查、厂矿月查、车间（安全管理部门）周查、班组日查要求，由各级主要负责人带队开展隐患排查整治（高危行业领域加大检查频次）。</w:t>
            </w:r>
          </w:p>
        </w:tc>
        <w:tc>
          <w:tcPr>
            <w:tcW w:w="1075" w:type="pct"/>
            <w:noWrap/>
            <w:vAlign w:val="center"/>
          </w:tcPr>
          <w:p w14:paraId="5594CF6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1C61783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CF2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605" w:type="pct"/>
            <w:vMerge w:val="continue"/>
            <w:noWrap/>
            <w:vAlign w:val="center"/>
          </w:tcPr>
          <w:p w14:paraId="4819A1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4B43470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16.强化安全生产问题隐患报告受理工作，督促企业全面自查自报自改本单位涉及的生产、经营、建设、消防、特种设备等各类重大事故隐患。企业主动向属地监管部门报告重大事故隐患并正在落实整改措施的，免予行政处罚，不查不改的，予以“一案双罚”。</w:t>
            </w:r>
          </w:p>
        </w:tc>
        <w:tc>
          <w:tcPr>
            <w:tcW w:w="1075" w:type="pct"/>
            <w:noWrap/>
            <w:vAlign w:val="center"/>
          </w:tcPr>
          <w:p w14:paraId="67E66BE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0BB91D6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A52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605" w:type="pct"/>
            <w:vMerge w:val="continue"/>
            <w:noWrap/>
            <w:vAlign w:val="center"/>
          </w:tcPr>
          <w:p w14:paraId="14A2CE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1541646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17.健全完善行业领域专家、企业退休技安人员以及专业技术服务机构参与排查整治工作的长效机制，提高排查整治专业性。</w:t>
            </w:r>
          </w:p>
        </w:tc>
        <w:tc>
          <w:tcPr>
            <w:tcW w:w="1075" w:type="pct"/>
            <w:noWrap/>
            <w:vAlign w:val="center"/>
          </w:tcPr>
          <w:p w14:paraId="436FF19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79CC380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F19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exact"/>
          <w:jc w:val="center"/>
        </w:trPr>
        <w:tc>
          <w:tcPr>
            <w:tcW w:w="605" w:type="pct"/>
            <w:vMerge w:val="continue"/>
            <w:noWrap/>
            <w:vAlign w:val="center"/>
          </w:tcPr>
          <w:p w14:paraId="4C0AFF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68C4FD2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18.每月将重大事故隐患信息通知到相关生产经营单位的主要负责人、实际控制人，实行清单制管理并动态更新整改落实情况，推动照单逐条整改销号。实现重大事故隐患整改率不低于全国平均水平。今年年底前治本攻坚三年行动开展以来排查发现的重大事故隐患全部按期完成整改、清零销号。</w:t>
            </w:r>
          </w:p>
        </w:tc>
        <w:tc>
          <w:tcPr>
            <w:tcW w:w="1075" w:type="pct"/>
            <w:noWrap/>
            <w:vAlign w:val="center"/>
          </w:tcPr>
          <w:p w14:paraId="3552539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03F00F3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D6B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jc w:val="center"/>
        </w:trPr>
        <w:tc>
          <w:tcPr>
            <w:tcW w:w="605" w:type="pct"/>
            <w:vMerge w:val="continue"/>
            <w:noWrap/>
            <w:vAlign w:val="center"/>
          </w:tcPr>
          <w:p w14:paraId="48EBCA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6925AA2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19.对典型突出问题严格开展责任倒查，对排查发现的重大事故隐患，依法依规追究企业主要负责人、实际控制人、实际受益人和上级公司相关责任人责任。对于未开展排查、明明有问题却查不出或者查出后拒不整改等导致重大事故隐患长期存在的，参照事故调查处理。</w:t>
            </w:r>
          </w:p>
        </w:tc>
        <w:tc>
          <w:tcPr>
            <w:tcW w:w="1075" w:type="pct"/>
            <w:noWrap/>
            <w:vAlign w:val="center"/>
          </w:tcPr>
          <w:p w14:paraId="1CCC1DE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5CF04BC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806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605" w:type="pct"/>
            <w:vMerge w:val="continue"/>
            <w:noWrap/>
            <w:vAlign w:val="center"/>
          </w:tcPr>
          <w:p w14:paraId="6EFAC5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2B758C7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20.总结凝练重大事故隐患动态清零经验做法，11月25日前报镇安委办。</w:t>
            </w:r>
          </w:p>
        </w:tc>
        <w:tc>
          <w:tcPr>
            <w:tcW w:w="1075" w:type="pct"/>
            <w:shd w:val="clear" w:color="auto" w:fill="auto"/>
            <w:noWrap/>
            <w:vAlign w:val="center"/>
          </w:tcPr>
          <w:p w14:paraId="4C8C174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0DEE306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7524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605" w:type="pct"/>
            <w:vMerge w:val="restart"/>
            <w:noWrap/>
            <w:vAlign w:val="center"/>
          </w:tcPr>
          <w:p w14:paraId="6097BA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（六）开展安全科技支撑和工程治理行动</w:t>
            </w:r>
          </w:p>
          <w:p w14:paraId="7678CE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22B1E61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21.加大危化品重大危险源、建筑施工、交通运输、水利、能源、消防、铝加工、粉尘涉爆、烟花爆竹、油气储存、石油天然气开采等行业领域安全风险监测预警系统建设应用和升级改造力度，开展智能化无人化建设，年底前安全生产风险智能化管控能力显著增强。</w:t>
            </w:r>
          </w:p>
        </w:tc>
        <w:tc>
          <w:tcPr>
            <w:tcW w:w="1075" w:type="pct"/>
            <w:noWrap/>
            <w:vAlign w:val="center"/>
          </w:tcPr>
          <w:p w14:paraId="51F048B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3D3456D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3871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605" w:type="pct"/>
            <w:vMerge w:val="continue"/>
            <w:noWrap/>
            <w:vAlign w:val="center"/>
          </w:tcPr>
          <w:p w14:paraId="070A4E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08586FA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22.巩固深化畅通消防“生命通道”。</w:t>
            </w:r>
          </w:p>
        </w:tc>
        <w:tc>
          <w:tcPr>
            <w:tcW w:w="1075" w:type="pct"/>
            <w:noWrap/>
            <w:vAlign w:val="center"/>
          </w:tcPr>
          <w:p w14:paraId="68532A00">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镇消防工作所</w:t>
            </w:r>
          </w:p>
        </w:tc>
        <w:tc>
          <w:tcPr>
            <w:tcW w:w="410" w:type="pct"/>
            <w:noWrap/>
            <w:vAlign w:val="center"/>
          </w:tcPr>
          <w:p w14:paraId="16564EB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6AF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05" w:type="pct"/>
            <w:vMerge w:val="continue"/>
            <w:noWrap/>
            <w:vAlign w:val="center"/>
          </w:tcPr>
          <w:p w14:paraId="24C071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376E2CE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23.督促危化品、工贸、建筑施工、交通运输、燃气等行业领域企业，按照国家先进适用技术装备推广及淘汰落后安全生产工艺技术设备目录、在用设备报废标准，加大淘汰更新力度。</w:t>
            </w:r>
          </w:p>
        </w:tc>
        <w:tc>
          <w:tcPr>
            <w:tcW w:w="1075" w:type="pct"/>
            <w:noWrap/>
            <w:vAlign w:val="center"/>
          </w:tcPr>
          <w:p w14:paraId="173C829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12045E8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110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605" w:type="pct"/>
            <w:vMerge w:val="restart"/>
            <w:noWrap/>
            <w:vAlign w:val="center"/>
          </w:tcPr>
          <w:p w14:paraId="44B7FA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（六）开展安全科技支撑和工程治理行动</w:t>
            </w:r>
          </w:p>
        </w:tc>
        <w:tc>
          <w:tcPr>
            <w:tcW w:w="2909" w:type="pct"/>
            <w:noWrap/>
            <w:vAlign w:val="center"/>
          </w:tcPr>
          <w:p w14:paraId="5CC4E97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24.依法推进“小散乱”企业有序关闭、矿山升级改造、尾矿库闭库销号、老旧直流内燃机车报废更新改造、“大吨小标”货车违规生产销售治理。持续深化老旧场所消防设施升级改造、公路安全生命防护工程建设、水库除险加固、电梯安全筑底、铁路平交道口改造等工程治理。</w:t>
            </w:r>
          </w:p>
        </w:tc>
        <w:tc>
          <w:tcPr>
            <w:tcW w:w="1075" w:type="pct"/>
            <w:noWrap/>
            <w:vAlign w:val="center"/>
          </w:tcPr>
          <w:p w14:paraId="5A6FCF6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599B143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8F9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605" w:type="pct"/>
            <w:vMerge w:val="continue"/>
            <w:noWrap/>
            <w:vAlign w:val="center"/>
          </w:tcPr>
          <w:p w14:paraId="509016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780E551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25.聚焦突出重大风险隐患，鼓励采取产学研深度融合等方式加大安全生产科技项目攻关力度，积极推广应用先进技术装备。</w:t>
            </w:r>
          </w:p>
        </w:tc>
        <w:tc>
          <w:tcPr>
            <w:tcW w:w="1075" w:type="pct"/>
            <w:noWrap/>
            <w:vAlign w:val="center"/>
          </w:tcPr>
          <w:p w14:paraId="01D8884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73F4F3F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7EDD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05" w:type="pct"/>
            <w:vMerge w:val="continue"/>
            <w:noWrap/>
            <w:vAlign w:val="center"/>
          </w:tcPr>
          <w:p w14:paraId="2A668B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0C0CEA3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26.消防救援、住建、公安、教育、卫健、商务、应急、文旅等部门按照职责，督促指导开展经营性自建房、老旧住宅小区、小型生产经营场所等安装早期火灾报警和灭火装置。</w:t>
            </w:r>
          </w:p>
        </w:tc>
        <w:tc>
          <w:tcPr>
            <w:tcW w:w="1075" w:type="pct"/>
            <w:noWrap/>
            <w:vAlign w:val="center"/>
          </w:tcPr>
          <w:p w14:paraId="4B7CE8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镇消防工作所、社会事务办、经济发展办、镇中心校、派出所、各村委</w:t>
            </w:r>
          </w:p>
        </w:tc>
        <w:tc>
          <w:tcPr>
            <w:tcW w:w="410" w:type="pct"/>
            <w:noWrap/>
            <w:vAlign w:val="center"/>
          </w:tcPr>
          <w:p w14:paraId="343C312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361C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5" w:type="pct"/>
            <w:noWrap/>
            <w:vAlign w:val="center"/>
          </w:tcPr>
          <w:p w14:paraId="3E59B3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（七）开展安全生产监督管理职责厘清行动</w:t>
            </w:r>
          </w:p>
        </w:tc>
        <w:tc>
          <w:tcPr>
            <w:tcW w:w="2909" w:type="pct"/>
            <w:noWrap/>
            <w:vAlign w:val="center"/>
          </w:tcPr>
          <w:p w14:paraId="03C57A3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27.建立健全重点行业领域“一件事”由一个部门牵头、相关部门配合，实施全链条安全监管的责任体系。</w:t>
            </w:r>
          </w:p>
        </w:tc>
        <w:tc>
          <w:tcPr>
            <w:tcW w:w="1075" w:type="pct"/>
            <w:noWrap/>
            <w:vAlign w:val="center"/>
          </w:tcPr>
          <w:p w14:paraId="5D1198A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各专业委员会</w:t>
            </w:r>
          </w:p>
        </w:tc>
        <w:tc>
          <w:tcPr>
            <w:tcW w:w="410" w:type="pct"/>
            <w:noWrap/>
            <w:vAlign w:val="center"/>
          </w:tcPr>
          <w:p w14:paraId="70CD28F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6A4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605" w:type="pct"/>
            <w:vMerge w:val="restart"/>
            <w:noWrap/>
            <w:vAlign w:val="center"/>
          </w:tcPr>
          <w:p w14:paraId="7F8298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（八）开展安全生产精准执法和帮扶行动</w:t>
            </w:r>
          </w:p>
        </w:tc>
        <w:tc>
          <w:tcPr>
            <w:tcW w:w="2909" w:type="pct"/>
            <w:noWrap/>
            <w:vAlign w:val="center"/>
          </w:tcPr>
          <w:p w14:paraId="72AAF56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28.深入推进危险化学品、烟花爆竹、城镇燃气、人员密集场所动火作业、建筑保温材料、新能源汽车充电基础设施、养老机构、经营性自建房等“一件事”全链条整治。巩固电动自行车全链条整治成效，开展电动自行车安全隐患常态化治理。</w:t>
            </w:r>
          </w:p>
        </w:tc>
        <w:tc>
          <w:tcPr>
            <w:tcW w:w="1075" w:type="pct"/>
            <w:noWrap/>
            <w:vAlign w:val="center"/>
          </w:tcPr>
          <w:p w14:paraId="7F083C1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社会事务办、镇消防工作所</w:t>
            </w:r>
          </w:p>
        </w:tc>
        <w:tc>
          <w:tcPr>
            <w:tcW w:w="410" w:type="pct"/>
            <w:noWrap/>
            <w:vAlign w:val="center"/>
          </w:tcPr>
          <w:p w14:paraId="7C08A83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898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05" w:type="pct"/>
            <w:vMerge w:val="continue"/>
            <w:noWrap/>
            <w:vAlign w:val="center"/>
          </w:tcPr>
          <w:p w14:paraId="3B81C5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6327225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29.加大“互联网+执法”应用力度，深入推进精准执法，集中挂牌、公布、曝光、处理一批重大事故隐患。</w:t>
            </w:r>
          </w:p>
        </w:tc>
        <w:tc>
          <w:tcPr>
            <w:tcW w:w="1075" w:type="pct"/>
            <w:noWrap/>
            <w:vAlign w:val="center"/>
          </w:tcPr>
          <w:p w14:paraId="67F55F4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049B582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3D66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05" w:type="pct"/>
            <w:vMerge w:val="continue"/>
            <w:noWrap/>
            <w:vAlign w:val="center"/>
          </w:tcPr>
          <w:p w14:paraId="554E55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57DE923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30.组织对高危行业领域企业开展安全执法指导帮扶。</w:t>
            </w:r>
          </w:p>
        </w:tc>
        <w:tc>
          <w:tcPr>
            <w:tcW w:w="1075" w:type="pct"/>
            <w:noWrap/>
            <w:vAlign w:val="center"/>
          </w:tcPr>
          <w:p w14:paraId="4733884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13F1314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24D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5" w:type="pct"/>
            <w:vMerge w:val="restart"/>
            <w:noWrap/>
            <w:vAlign w:val="center"/>
          </w:tcPr>
          <w:p w14:paraId="21EB10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（八）开展安全生产精准执法和帮扶行动</w:t>
            </w:r>
          </w:p>
        </w:tc>
        <w:tc>
          <w:tcPr>
            <w:tcW w:w="2909" w:type="pct"/>
            <w:noWrap/>
            <w:vAlign w:val="center"/>
          </w:tcPr>
          <w:p w14:paraId="50994C3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31.结合中央党校企业主要负责人培训班，组织安全监管执法人员跟班参训。</w:t>
            </w:r>
          </w:p>
        </w:tc>
        <w:tc>
          <w:tcPr>
            <w:tcW w:w="1075" w:type="pct"/>
            <w:noWrap/>
            <w:vAlign w:val="center"/>
          </w:tcPr>
          <w:p w14:paraId="4E91AEF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15FE26A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CFA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05" w:type="pct"/>
            <w:vMerge w:val="continue"/>
            <w:noWrap/>
            <w:vAlign w:val="center"/>
          </w:tcPr>
          <w:p w14:paraId="18EE04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19CE7D9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32.</w:t>
            </w:r>
            <w:r>
              <w:rPr>
                <w:rFonts w:hint="eastAsia" w:ascii="仿宋_GB2312" w:hAnsi="仿宋_GB2312" w:eastAsia="仿宋_GB2312" w:cs="仿宋_GB2312"/>
                <w:i w:val="0"/>
                <w:iCs w:val="0"/>
                <w:color w:val="000000"/>
                <w:kern w:val="0"/>
                <w:sz w:val="20"/>
                <w:szCs w:val="20"/>
                <w:highlight w:val="none"/>
                <w:u w:val="none"/>
                <w:lang w:val="en-US" w:eastAsia="zh-CN" w:bidi="ar"/>
              </w:rPr>
              <w:t>落实省级部门制(修)定的本行业安全监管执法人员入职培训和复训大纲，运用省级部门编写的执法培训教材。</w:t>
            </w:r>
          </w:p>
        </w:tc>
        <w:tc>
          <w:tcPr>
            <w:tcW w:w="1075" w:type="pct"/>
            <w:noWrap/>
            <w:vAlign w:val="center"/>
          </w:tcPr>
          <w:p w14:paraId="5654C01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235DC27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CDB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05" w:type="pct"/>
            <w:vMerge w:val="continue"/>
            <w:noWrap/>
            <w:vAlign w:val="center"/>
          </w:tcPr>
          <w:p w14:paraId="284002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56A9710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33.综合运用“线上+线下”“理论+实操”“调研+评估”等方式方法，开展执法业务能力提升培训。</w:t>
            </w:r>
          </w:p>
        </w:tc>
        <w:tc>
          <w:tcPr>
            <w:tcW w:w="1075" w:type="pct"/>
            <w:noWrap/>
            <w:vAlign w:val="center"/>
          </w:tcPr>
          <w:p w14:paraId="4990142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01C73AE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950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05" w:type="pct"/>
            <w:vMerge w:val="continue"/>
            <w:noWrap/>
            <w:vAlign w:val="center"/>
          </w:tcPr>
          <w:p w14:paraId="593825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7485EAE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34.严格落实安全生产监管执法统计、执法考评和典型案例报送制度，组织开展执法练兵和比武竞赛。</w:t>
            </w:r>
          </w:p>
        </w:tc>
        <w:tc>
          <w:tcPr>
            <w:tcW w:w="1075" w:type="pct"/>
            <w:noWrap/>
            <w:vAlign w:val="center"/>
          </w:tcPr>
          <w:p w14:paraId="4A6A0E1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20878F6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F6D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605" w:type="pct"/>
            <w:vMerge w:val="continue"/>
            <w:noWrap/>
            <w:vAlign w:val="center"/>
          </w:tcPr>
          <w:p w14:paraId="77DC7F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5A1D155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35.落实我省进一步提升基层应急管理能力的若干措施，着力提升基层应急管理组织指挥能力、安全风险防范能力、应急救援队伍实战能力、应急处置能力和支撑保障能力。加强安全生产完善基层应急管理和消防组织体系，优化消防站点功能布局，加强人员力量配备和消防基础设施建设。</w:t>
            </w:r>
          </w:p>
        </w:tc>
        <w:tc>
          <w:tcPr>
            <w:tcW w:w="1075" w:type="pct"/>
            <w:noWrap/>
            <w:vAlign w:val="center"/>
          </w:tcPr>
          <w:p w14:paraId="68D42041">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社会事务办、镇消防工作所</w:t>
            </w:r>
          </w:p>
        </w:tc>
        <w:tc>
          <w:tcPr>
            <w:tcW w:w="410" w:type="pct"/>
            <w:noWrap/>
            <w:vAlign w:val="center"/>
          </w:tcPr>
          <w:p w14:paraId="2C4F8C7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846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pct"/>
            <w:vMerge w:val="continue"/>
            <w:noWrap/>
            <w:vAlign w:val="center"/>
          </w:tcPr>
          <w:p w14:paraId="0C8EC3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7EFD8F6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36.推动事故隐患内部报告奖励机制深度融入企业日常管理。</w:t>
            </w:r>
          </w:p>
        </w:tc>
        <w:tc>
          <w:tcPr>
            <w:tcW w:w="1075" w:type="pct"/>
            <w:noWrap/>
            <w:vAlign w:val="center"/>
          </w:tcPr>
          <w:p w14:paraId="3984673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5DDFC84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4BC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05" w:type="pct"/>
            <w:vMerge w:val="continue"/>
            <w:noWrap/>
            <w:vAlign w:val="center"/>
          </w:tcPr>
          <w:p w14:paraId="203DE9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0E1D909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37.进一步健全落实安全生产举报制度机制，奖励资金纳入各级财政预算。</w:t>
            </w:r>
          </w:p>
        </w:tc>
        <w:tc>
          <w:tcPr>
            <w:tcW w:w="1075" w:type="pct"/>
            <w:noWrap/>
            <w:vAlign w:val="center"/>
          </w:tcPr>
          <w:p w14:paraId="4A2E2ED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7369270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ECD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05" w:type="pct"/>
            <w:vMerge w:val="restart"/>
            <w:noWrap/>
            <w:vAlign w:val="center"/>
          </w:tcPr>
          <w:p w14:paraId="135169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（九）开展党政领导干部安全生产履职能力提升行动</w:t>
            </w:r>
          </w:p>
          <w:p w14:paraId="4E0BA1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7F712D2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38.制定党政领导干部安全生产职责清单和年度任务清单，报镇安委办备案。</w:t>
            </w:r>
          </w:p>
        </w:tc>
        <w:tc>
          <w:tcPr>
            <w:tcW w:w="1075" w:type="pct"/>
            <w:noWrap/>
            <w:vAlign w:val="center"/>
          </w:tcPr>
          <w:p w14:paraId="61159B2A">
            <w:pPr>
              <w:jc w:val="left"/>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0"/>
                <w:szCs w:val="20"/>
                <w:u w:val="none"/>
                <w:lang w:val="en-US" w:eastAsia="zh-CN" w:bidi="ar"/>
              </w:rPr>
              <w:t>各村委</w:t>
            </w:r>
          </w:p>
        </w:tc>
        <w:tc>
          <w:tcPr>
            <w:tcW w:w="410" w:type="pct"/>
            <w:noWrap/>
            <w:vAlign w:val="center"/>
          </w:tcPr>
          <w:p w14:paraId="6E3FF6A4">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41F8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605" w:type="pct"/>
            <w:vMerge w:val="continue"/>
            <w:noWrap/>
            <w:vAlign w:val="center"/>
          </w:tcPr>
          <w:p w14:paraId="36E9BB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52586DD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39.将安全生产、消防安全教育培训列入党政领导干部的必修课程，突出重大事故隐患排查整治方面内容，加强经常性教育培训。</w:t>
            </w:r>
          </w:p>
        </w:tc>
        <w:tc>
          <w:tcPr>
            <w:tcW w:w="1075" w:type="pct"/>
            <w:noWrap/>
            <w:vAlign w:val="center"/>
          </w:tcPr>
          <w:p w14:paraId="4709BB1B">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镇组织部门</w:t>
            </w:r>
          </w:p>
        </w:tc>
        <w:tc>
          <w:tcPr>
            <w:tcW w:w="410" w:type="pct"/>
            <w:noWrap/>
            <w:vAlign w:val="center"/>
          </w:tcPr>
          <w:p w14:paraId="21EEF3A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E30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jc w:val="center"/>
        </w:trPr>
        <w:tc>
          <w:tcPr>
            <w:tcW w:w="605" w:type="pct"/>
            <w:vMerge w:val="continue"/>
            <w:noWrap/>
            <w:vAlign w:val="center"/>
          </w:tcPr>
          <w:p w14:paraId="282C27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1EF7489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40.建立安全生产办实事、解难题清单，针对安全监管部门领导班子、干部队伍、监管职责、执法力量、经费保障、执法装备、信息化建设等事项，每年至少研究解决10项具体问题。</w:t>
            </w:r>
          </w:p>
        </w:tc>
        <w:tc>
          <w:tcPr>
            <w:tcW w:w="1075" w:type="pct"/>
            <w:noWrap/>
            <w:vAlign w:val="center"/>
          </w:tcPr>
          <w:p w14:paraId="6B71DCF0">
            <w:pPr>
              <w:jc w:val="left"/>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0"/>
                <w:szCs w:val="20"/>
                <w:u w:val="none"/>
                <w:lang w:val="en-US" w:eastAsia="zh-CN" w:bidi="ar"/>
              </w:rPr>
              <w:t>镇党委、镇政府</w:t>
            </w:r>
          </w:p>
        </w:tc>
        <w:tc>
          <w:tcPr>
            <w:tcW w:w="410" w:type="pct"/>
            <w:noWrap/>
            <w:vAlign w:val="center"/>
          </w:tcPr>
          <w:p w14:paraId="6069CEF0">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1C31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605" w:type="pct"/>
            <w:vMerge w:val="restart"/>
            <w:noWrap/>
            <w:vAlign w:val="center"/>
          </w:tcPr>
          <w:p w14:paraId="412EBD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（十）开展全民安全素质提升行动</w:t>
            </w:r>
          </w:p>
        </w:tc>
        <w:tc>
          <w:tcPr>
            <w:tcW w:w="2909" w:type="pct"/>
            <w:noWrap/>
            <w:vAlign w:val="center"/>
          </w:tcPr>
          <w:p w14:paraId="34C0391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41.开展安全生产月、防灾减灾周、消防宣传月等主题宣传活动。</w:t>
            </w:r>
          </w:p>
        </w:tc>
        <w:tc>
          <w:tcPr>
            <w:tcW w:w="1075" w:type="pct"/>
            <w:noWrap/>
            <w:vAlign w:val="center"/>
          </w:tcPr>
          <w:p w14:paraId="432808B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镇安委办，镇消防工作所等镇安委会有关成员单位</w:t>
            </w:r>
          </w:p>
        </w:tc>
        <w:tc>
          <w:tcPr>
            <w:tcW w:w="410" w:type="pct"/>
            <w:noWrap/>
            <w:vAlign w:val="center"/>
          </w:tcPr>
          <w:p w14:paraId="69CC345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DEC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605" w:type="pct"/>
            <w:vMerge w:val="continue"/>
            <w:noWrap/>
            <w:vAlign w:val="center"/>
          </w:tcPr>
          <w:p w14:paraId="034F65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6AA0C14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42.推动相关单位进一步落实“谁执法谁普法”普法责任制，制定普法工作计划，深入开展安全生产法治宣传教育。</w:t>
            </w:r>
          </w:p>
        </w:tc>
        <w:tc>
          <w:tcPr>
            <w:tcW w:w="1075" w:type="pct"/>
            <w:noWrap/>
            <w:vAlign w:val="center"/>
          </w:tcPr>
          <w:p w14:paraId="2A14E636">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镇司法所、镇综合执法队</w:t>
            </w:r>
          </w:p>
        </w:tc>
        <w:tc>
          <w:tcPr>
            <w:tcW w:w="410" w:type="pct"/>
            <w:noWrap/>
            <w:vAlign w:val="center"/>
          </w:tcPr>
          <w:p w14:paraId="78E7DB7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D9D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605" w:type="pct"/>
            <w:vMerge w:val="restart"/>
            <w:noWrap/>
            <w:vAlign w:val="center"/>
          </w:tcPr>
          <w:p w14:paraId="17A0C1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（十一）学习贯彻安全发展理念行动</w:t>
            </w:r>
          </w:p>
        </w:tc>
        <w:tc>
          <w:tcPr>
            <w:tcW w:w="2909" w:type="pct"/>
            <w:noWrap/>
            <w:vAlign w:val="center"/>
          </w:tcPr>
          <w:p w14:paraId="53CACE6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43.将习近平总书记关于安全生产重要论述和党的二十大关于安全生产工作的重要部署，纳入各级党委政府学习宣传工作重点，纳入各级党委（党组）理论学习中心组专题学习和研讨内容，每月组织开展一次</w:t>
            </w:r>
            <w:bookmarkStart w:id="0" w:name="_GoBack"/>
            <w:bookmarkEnd w:id="0"/>
            <w:r>
              <w:rPr>
                <w:rFonts w:hint="eastAsia" w:ascii="仿宋_GB2312" w:hAnsi="仿宋_GB2312" w:eastAsia="仿宋_GB2312" w:cs="仿宋_GB2312"/>
                <w:i w:val="0"/>
                <w:iCs w:val="0"/>
                <w:color w:val="000000"/>
                <w:kern w:val="0"/>
                <w:sz w:val="20"/>
                <w:szCs w:val="20"/>
                <w:u w:val="none"/>
                <w:lang w:val="en-US" w:eastAsia="zh-CN" w:bidi="ar"/>
              </w:rPr>
              <w:t>理论学习中心组专题学习。</w:t>
            </w:r>
          </w:p>
        </w:tc>
        <w:tc>
          <w:tcPr>
            <w:tcW w:w="1075" w:type="pct"/>
            <w:noWrap/>
            <w:vAlign w:val="center"/>
          </w:tcPr>
          <w:p w14:paraId="7FC8B59A">
            <w:pPr>
              <w:jc w:val="left"/>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镇安委会各成员单位</w:t>
            </w:r>
          </w:p>
        </w:tc>
        <w:tc>
          <w:tcPr>
            <w:tcW w:w="410" w:type="pct"/>
            <w:noWrap/>
            <w:vAlign w:val="center"/>
          </w:tcPr>
          <w:p w14:paraId="7C103DB6">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557B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605" w:type="pct"/>
            <w:vMerge w:val="continue"/>
            <w:noWrap/>
            <w:vAlign w:val="center"/>
          </w:tcPr>
          <w:p w14:paraId="15C99D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614196C6">
            <w:pP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44.贯彻习近平总书记关于安全生产系列重要论述，结合“安全生产月”、“6·16安全生产咨询日”等活动，常态化组织开展安全宣传“五进”，部署开展经常性、系统性宣传贯彻和主题宣传活动，普及全社会安全理念意识。</w:t>
            </w:r>
          </w:p>
        </w:tc>
        <w:tc>
          <w:tcPr>
            <w:tcW w:w="1075" w:type="pct"/>
            <w:noWrap/>
            <w:vAlign w:val="center"/>
          </w:tcPr>
          <w:p w14:paraId="76C985AC">
            <w:pP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镇安委会各成员单位，各乡镇</w:t>
            </w:r>
          </w:p>
        </w:tc>
        <w:tc>
          <w:tcPr>
            <w:tcW w:w="410" w:type="pct"/>
            <w:noWrap/>
            <w:vAlign w:val="center"/>
          </w:tcPr>
          <w:p w14:paraId="7D339384">
            <w:pPr>
              <w:rPr>
                <w:rFonts w:hint="eastAsia" w:ascii="仿宋_GB2312" w:hAnsi="仿宋_GB2312" w:eastAsia="仿宋_GB2312" w:cs="仿宋_GB2312"/>
                <w:i w:val="0"/>
                <w:iCs w:val="0"/>
                <w:color w:val="000000"/>
                <w:kern w:val="0"/>
                <w:sz w:val="20"/>
                <w:szCs w:val="20"/>
                <w:u w:val="none"/>
                <w:lang w:val="en-US" w:eastAsia="zh-CN" w:bidi="ar"/>
              </w:rPr>
            </w:pPr>
          </w:p>
        </w:tc>
      </w:tr>
      <w:tr w14:paraId="04BF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exact"/>
          <w:jc w:val="center"/>
        </w:trPr>
        <w:tc>
          <w:tcPr>
            <w:tcW w:w="605" w:type="pct"/>
            <w:vMerge w:val="restart"/>
            <w:noWrap/>
            <w:vAlign w:val="center"/>
          </w:tcPr>
          <w:p w14:paraId="14C2D5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（十二）安全生产责任落实行动</w:t>
            </w:r>
          </w:p>
        </w:tc>
        <w:tc>
          <w:tcPr>
            <w:tcW w:w="2909" w:type="pct"/>
            <w:noWrap/>
            <w:vAlign w:val="center"/>
          </w:tcPr>
          <w:p w14:paraId="1AC282A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strike w:val="0"/>
                <w:color w:val="000000"/>
                <w:kern w:val="0"/>
                <w:sz w:val="20"/>
                <w:szCs w:val="20"/>
                <w:u w:val="none"/>
                <w:lang w:val="en-US" w:eastAsia="zh-CN" w:bidi="ar"/>
              </w:rPr>
              <w:t>45.严</w:t>
            </w:r>
            <w:r>
              <w:rPr>
                <w:rFonts w:hint="eastAsia" w:ascii="仿宋_GB2312" w:hAnsi="仿宋_GB2312" w:eastAsia="仿宋_GB2312" w:cs="仿宋_GB2312"/>
                <w:i w:val="0"/>
                <w:iCs w:val="0"/>
                <w:color w:val="000000"/>
                <w:kern w:val="0"/>
                <w:sz w:val="20"/>
                <w:szCs w:val="20"/>
                <w:u w:val="none"/>
                <w:lang w:val="en-US" w:eastAsia="zh-CN" w:bidi="ar"/>
              </w:rPr>
              <w:t>格落实地方党政领导干部安全生产责任制规定，严格落实“党政同责、一岗双责、齐抓共管、失职追责”，严格落实党政领导安全生产履责述职和“第一责任人”职责落实报告制度，切实加强安全生产工作，开展重要节日和重大活动针对性督查检查。</w:t>
            </w:r>
          </w:p>
        </w:tc>
        <w:tc>
          <w:tcPr>
            <w:tcW w:w="1075" w:type="pct"/>
            <w:noWrap/>
            <w:vAlign w:val="center"/>
          </w:tcPr>
          <w:p w14:paraId="2F41EB0D">
            <w:pPr>
              <w:jc w:val="left"/>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镇安委办</w:t>
            </w:r>
          </w:p>
        </w:tc>
        <w:tc>
          <w:tcPr>
            <w:tcW w:w="410" w:type="pct"/>
            <w:noWrap/>
            <w:vAlign w:val="center"/>
          </w:tcPr>
          <w:p w14:paraId="57DAF3C6">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175B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exact"/>
          <w:jc w:val="center"/>
        </w:trPr>
        <w:tc>
          <w:tcPr>
            <w:tcW w:w="605" w:type="pct"/>
            <w:vMerge w:val="continue"/>
            <w:noWrap/>
            <w:vAlign w:val="center"/>
          </w:tcPr>
          <w:p w14:paraId="4224FA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909" w:type="pct"/>
            <w:noWrap/>
            <w:vAlign w:val="center"/>
          </w:tcPr>
          <w:p w14:paraId="2F08393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46.负有安全生产监督管理职责的部门及各乡镇，在各自职责范围内，对有关行业领域的安全生产工作实施监督管理，强化监管执法，依法依规查处违法违规行为。</w:t>
            </w:r>
          </w:p>
        </w:tc>
        <w:tc>
          <w:tcPr>
            <w:tcW w:w="1075" w:type="pct"/>
            <w:noWrap/>
            <w:vAlign w:val="center"/>
          </w:tcPr>
          <w:p w14:paraId="10F8F016">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负有安全生产监管职责的部门</w:t>
            </w:r>
          </w:p>
        </w:tc>
        <w:tc>
          <w:tcPr>
            <w:tcW w:w="410" w:type="pct"/>
            <w:noWrap/>
            <w:vAlign w:val="center"/>
          </w:tcPr>
          <w:p w14:paraId="0FED205C">
            <w:pPr>
              <w:jc w:val="left"/>
              <w:rPr>
                <w:rFonts w:hint="eastAsia" w:ascii="仿宋_GB2312" w:hAnsi="仿宋_GB2312" w:eastAsia="仿宋_GB2312" w:cs="仿宋_GB2312"/>
                <w:i w:val="0"/>
                <w:iCs w:val="0"/>
                <w:color w:val="000000"/>
                <w:kern w:val="0"/>
                <w:sz w:val="20"/>
                <w:szCs w:val="20"/>
                <w:u w:val="none"/>
                <w:lang w:val="en-US" w:eastAsia="zh-CN" w:bidi="ar"/>
              </w:rPr>
            </w:pPr>
          </w:p>
        </w:tc>
      </w:tr>
    </w:tbl>
    <w:p w14:paraId="5A242D95">
      <w:pPr>
        <w:rPr>
          <w:rFonts w:hint="eastAsia"/>
          <w:lang w:val="en-US" w:eastAsia="zh-CN"/>
        </w:rPr>
      </w:pPr>
    </w:p>
    <w:sectPr>
      <w:footerReference r:id="rId3" w:type="default"/>
      <w:pgSz w:w="16838" w:h="11906" w:orient="landscape"/>
      <w:pgMar w:top="1587" w:right="2098" w:bottom="1474" w:left="1984" w:header="851" w:footer="992" w:gutter="0"/>
      <w:pgNumType w:fmt="decimal" w:start="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787C2D-9B16-418F-B6EA-C6039361FD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B34AB3-1502-44C1-B825-516F9F123CF4}"/>
  </w:font>
  <w:font w:name="方正小标宋简体">
    <w:panose1 w:val="02000000000000000000"/>
    <w:charset w:val="86"/>
    <w:family w:val="auto"/>
    <w:pitch w:val="default"/>
    <w:sig w:usb0="00000001" w:usb1="08000000" w:usb2="00000000" w:usb3="00000000" w:csb0="00040000" w:csb1="00000000"/>
    <w:embedRegular r:id="rId3" w:fontKey="{C7C0EC16-FB20-4BA9-B26B-B3AAB7C73085}"/>
  </w:font>
  <w:font w:name="仿宋_GB2312">
    <w:panose1 w:val="02010609030101010101"/>
    <w:charset w:val="86"/>
    <w:family w:val="auto"/>
    <w:pitch w:val="default"/>
    <w:sig w:usb0="00000001" w:usb1="080E0000" w:usb2="00000000" w:usb3="00000000" w:csb0="00040000" w:csb1="00000000"/>
    <w:embedRegular r:id="rId4" w:fontKey="{B9A65EBB-9B06-446F-AD46-190FA5BA3E6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FD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82D8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F82D8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ODM5ZjIwNzA1ZWZkYzRkN2NjNWNiZWVlNWYzYzcifQ=="/>
  </w:docVars>
  <w:rsids>
    <w:rsidRoot w:val="5533458E"/>
    <w:rsid w:val="00276E33"/>
    <w:rsid w:val="015B4FE6"/>
    <w:rsid w:val="03A26EFC"/>
    <w:rsid w:val="08D15B8E"/>
    <w:rsid w:val="08F655F4"/>
    <w:rsid w:val="0A861564"/>
    <w:rsid w:val="0C2661F0"/>
    <w:rsid w:val="0D75742F"/>
    <w:rsid w:val="0F696B20"/>
    <w:rsid w:val="12D960C2"/>
    <w:rsid w:val="15304812"/>
    <w:rsid w:val="16FA2753"/>
    <w:rsid w:val="1840063A"/>
    <w:rsid w:val="190B6E9A"/>
    <w:rsid w:val="22D87DED"/>
    <w:rsid w:val="24DA3FD0"/>
    <w:rsid w:val="25D05D0A"/>
    <w:rsid w:val="261455E0"/>
    <w:rsid w:val="297B078A"/>
    <w:rsid w:val="297B511D"/>
    <w:rsid w:val="3143321D"/>
    <w:rsid w:val="32BB360A"/>
    <w:rsid w:val="33884F17"/>
    <w:rsid w:val="33CA5530"/>
    <w:rsid w:val="34256313"/>
    <w:rsid w:val="35327830"/>
    <w:rsid w:val="36FC49E1"/>
    <w:rsid w:val="3C1F6635"/>
    <w:rsid w:val="3EF9277C"/>
    <w:rsid w:val="42DB3FE5"/>
    <w:rsid w:val="43B57B21"/>
    <w:rsid w:val="4CA961D2"/>
    <w:rsid w:val="4D901140"/>
    <w:rsid w:val="5128141C"/>
    <w:rsid w:val="5533458E"/>
    <w:rsid w:val="556829A3"/>
    <w:rsid w:val="589D0BB5"/>
    <w:rsid w:val="5D83037A"/>
    <w:rsid w:val="662621EA"/>
    <w:rsid w:val="683E1A6D"/>
    <w:rsid w:val="692C5D69"/>
    <w:rsid w:val="6C042FCD"/>
    <w:rsid w:val="6E245261"/>
    <w:rsid w:val="6EBF7581"/>
    <w:rsid w:val="75A4312B"/>
    <w:rsid w:val="75EB48B6"/>
    <w:rsid w:val="77302EC9"/>
    <w:rsid w:val="78AD0549"/>
    <w:rsid w:val="7B9D6653"/>
    <w:rsid w:val="7CA34EB1"/>
    <w:rsid w:val="7D47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4"/>
    <w:qFormat/>
    <w:uiPriority w:val="0"/>
    <w:pPr>
      <w:ind w:left="20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Text1I2"/>
    <w:basedOn w:val="10"/>
    <w:qFormat/>
    <w:uiPriority w:val="0"/>
    <w:pPr>
      <w:widowControl/>
      <w:spacing w:before="0" w:beforeLines="0" w:after="120" w:afterLines="0" w:line="856" w:lineRule="atLeast"/>
      <w:ind w:left="420" w:leftChars="200" w:right="0" w:firstLine="420" w:firstLineChars="200"/>
      <w:jc w:val="both"/>
    </w:pPr>
  </w:style>
  <w:style w:type="paragraph" w:customStyle="1" w:styleId="10">
    <w:name w:val="BodyTextIndent"/>
    <w:basedOn w:val="1"/>
    <w:qFormat/>
    <w:uiPriority w:val="0"/>
    <w:pPr>
      <w:widowControl/>
      <w:spacing w:before="0" w:beforeLines="0" w:after="120" w:afterLines="0" w:line="856" w:lineRule="atLeast"/>
      <w:ind w:left="420" w:leftChars="200" w:right="0" w:firstLine="22"/>
      <w:jc w:val="both"/>
    </w:pPr>
  </w:style>
  <w:style w:type="character" w:customStyle="1" w:styleId="11">
    <w:name w:val="NormalCharacter"/>
    <w:qFormat/>
    <w:uiPriority w:val="0"/>
    <w:rPr>
      <w:rFonts w:ascii="Calibri" w:hAnsi="Calibri" w:eastAsia="宋体" w:cs="Times New Roman"/>
      <w:kern w:val="2"/>
      <w:sz w:val="21"/>
      <w:szCs w:val="24"/>
      <w:lang w:val="en-US" w:eastAsia="zh-CN" w:bidi="ar-SA"/>
    </w:rPr>
  </w:style>
  <w:style w:type="paragraph" w:customStyle="1" w:styleId="12">
    <w:name w:val="正文首行缩进 21"/>
    <w:basedOn w:val="13"/>
    <w:next w:val="6"/>
    <w:qFormat/>
    <w:uiPriority w:val="0"/>
    <w:pPr>
      <w:ind w:firstLine="200" w:firstLineChars="200"/>
    </w:pPr>
  </w:style>
  <w:style w:type="paragraph" w:customStyle="1" w:styleId="13">
    <w:name w:val="正文文本缩进1"/>
    <w:basedOn w:val="14"/>
    <w:next w:val="1"/>
    <w:qFormat/>
    <w:uiPriority w:val="0"/>
    <w:pPr>
      <w:ind w:left="200" w:leftChars="200"/>
    </w:pPr>
  </w:style>
  <w:style w:type="paragraph" w:customStyle="1" w:styleId="14">
    <w:name w:val="正文1"/>
    <w:next w:val="12"/>
    <w:qFormat/>
    <w:uiPriority w:val="0"/>
    <w:pPr>
      <w:widowControl w:val="0"/>
      <w:suppressAutoHyphens w:val="0"/>
      <w:bidi w:val="0"/>
      <w:spacing w:beforeLines="0" w:afterLines="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2065</Words>
  <Characters>2115</Characters>
  <Lines>0</Lines>
  <Paragraphs>0</Paragraphs>
  <TotalTime>12</TotalTime>
  <ScaleCrop>false</ScaleCrop>
  <LinksUpToDate>false</LinksUpToDate>
  <CharactersWithSpaces>2115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2026-04-03T00:54:00Z</dcterms:created>
  <dc:creator>刘老三</dc:creator>
  <cp:lastModifiedBy>成</cp:lastModifiedBy>
  <cp:lastPrinted>2026-04-08T02:55:00Z</cp:lastPrinted>
  <dcterms:modified xsi:type="dcterms:W3CDTF">2026-05-07T03:06:19Z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D202122B08EC4F7F8F6F58E40B3A38E3_13</vt:lpwstr>
  </property>
  <property fmtid="{D5CDD505-2E9C-101B-9397-08002B2CF9AE}" pid="4" name="KSOTemplateDocerSaveRecord">
    <vt:lpwstr>eyJoZGlkIjoiNWRhZTY3NGM0ZDg3ODk3NjQ3YjJjNDU4OTVlNDAwZjIiLCJ1c2VySWQiOiIxMTQ5OTg3NTc2In0=</vt:lpwstr>
  </property>
</Properties>
</file>