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78" w:lineRule="exact"/>
        <w:rPr>
          <w:rFonts w:hint="eastAsia" w:ascii="黑体" w:hAnsi="黑体" w:eastAsia="黑体"/>
          <w:color w:val="auto"/>
          <w:sz w:val="32"/>
          <w:szCs w:val="32"/>
        </w:rPr>
      </w:pPr>
      <w:r>
        <w:rPr>
          <w:rFonts w:hint="eastAsia" w:ascii="黑体" w:hAnsi="黑体" w:eastAsia="黑体"/>
          <w:color w:val="auto"/>
          <w:sz w:val="32"/>
          <w:szCs w:val="32"/>
        </w:rPr>
        <w:t>附</w:t>
      </w:r>
      <w:r>
        <w:rPr>
          <w:rFonts w:hint="eastAsia" w:ascii="黑体" w:hAnsi="黑体" w:eastAsia="黑体"/>
          <w:color w:val="auto"/>
          <w:sz w:val="32"/>
          <w:szCs w:val="32"/>
          <w:lang w:eastAsia="zh-CN"/>
        </w:rPr>
        <w:t>件</w:t>
      </w:r>
      <w:r>
        <w:rPr>
          <w:rFonts w:hint="eastAsia" w:ascii="黑体" w:hAnsi="黑体" w:eastAsia="黑体"/>
          <w:color w:val="auto"/>
          <w:sz w:val="32"/>
          <w:szCs w:val="32"/>
        </w:rPr>
        <w:t>1</w:t>
      </w:r>
    </w:p>
    <w:p>
      <w:pPr>
        <w:keepNext w:val="0"/>
        <w:keepLines w:val="0"/>
        <w:pageBreakBefore w:val="0"/>
        <w:widowControl w:val="0"/>
        <w:kinsoku/>
        <w:wordWrap/>
        <w:overflowPunct/>
        <w:topLinePunct w:val="0"/>
        <w:autoSpaceDE/>
        <w:autoSpaceDN/>
        <w:bidi w:val="0"/>
        <w:adjustRightInd/>
        <w:snapToGrid/>
        <w:spacing w:line="560" w:lineRule="exact"/>
        <w:ind w:firstLine="635"/>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柳林</w:t>
      </w:r>
      <w:r>
        <w:rPr>
          <w:rFonts w:hint="eastAsia" w:ascii="方正小标宋简体" w:hAnsi="方正小标宋简体" w:eastAsia="方正小标宋简体" w:cs="方正小标宋简体"/>
          <w:color w:val="auto"/>
          <w:sz w:val="44"/>
          <w:szCs w:val="44"/>
        </w:rPr>
        <w:t>县</w:t>
      </w:r>
      <w:bookmarkStart w:id="0" w:name="_GoBack"/>
      <w:bookmarkEnd w:id="0"/>
      <w:r>
        <w:rPr>
          <w:rFonts w:hint="eastAsia" w:ascii="方正小标宋简体" w:hAnsi="方正小标宋简体" w:eastAsia="方正小标宋简体" w:cs="方正小标宋简体"/>
          <w:color w:val="auto"/>
          <w:sz w:val="44"/>
          <w:szCs w:val="44"/>
          <w:lang w:val="en-US" w:eastAsia="zh-CN"/>
        </w:rPr>
        <w:t>2023</w:t>
      </w:r>
      <w:r>
        <w:rPr>
          <w:rFonts w:hint="eastAsia" w:ascii="方正小标宋简体" w:hAnsi="方正小标宋简体" w:eastAsia="方正小标宋简体" w:cs="方正小标宋简体"/>
          <w:color w:val="auto"/>
          <w:sz w:val="44"/>
          <w:szCs w:val="44"/>
        </w:rPr>
        <w:t>年度住宅用地供应计划表</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rPr>
      </w:pPr>
    </w:p>
    <w:tbl>
      <w:tblPr>
        <w:tblStyle w:val="5"/>
        <w:tblW w:w="12774" w:type="dxa"/>
        <w:tblInd w:w="95" w:type="dxa"/>
        <w:tblLayout w:type="autofit"/>
        <w:tblCellMar>
          <w:top w:w="0" w:type="dxa"/>
          <w:left w:w="108" w:type="dxa"/>
          <w:bottom w:w="0" w:type="dxa"/>
          <w:right w:w="108" w:type="dxa"/>
        </w:tblCellMar>
      </w:tblPr>
      <w:tblGrid>
        <w:gridCol w:w="1089"/>
        <w:gridCol w:w="1395"/>
        <w:gridCol w:w="1395"/>
        <w:gridCol w:w="1800"/>
        <w:gridCol w:w="1350"/>
        <w:gridCol w:w="1560"/>
        <w:gridCol w:w="1485"/>
        <w:gridCol w:w="1290"/>
        <w:gridCol w:w="1410"/>
      </w:tblGrid>
      <w:tr>
        <w:tblPrEx>
          <w:tblCellMar>
            <w:top w:w="0" w:type="dxa"/>
            <w:left w:w="108" w:type="dxa"/>
            <w:bottom w:w="0" w:type="dxa"/>
            <w:right w:w="108" w:type="dxa"/>
          </w:tblCellMar>
        </w:tblPrEx>
        <w:trPr>
          <w:trHeight w:val="375" w:hRule="atLeast"/>
        </w:trPr>
        <w:tc>
          <w:tcPr>
            <w:tcW w:w="108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rPr>
              <w:t>市（县）</w:t>
            </w:r>
          </w:p>
        </w:tc>
        <w:tc>
          <w:tcPr>
            <w:tcW w:w="139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rPr>
              <w:t>总量</w:t>
            </w:r>
          </w:p>
        </w:tc>
        <w:tc>
          <w:tcPr>
            <w:tcW w:w="454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auto"/>
                <w:kern w:val="0"/>
                <w:sz w:val="28"/>
                <w:szCs w:val="28"/>
                <w:highlight w:val="none"/>
              </w:rPr>
            </w:pPr>
            <w:r>
              <w:rPr>
                <w:rFonts w:hint="eastAsia" w:ascii="黑体" w:hAnsi="黑体" w:eastAsia="黑体" w:cs="黑体"/>
                <w:b w:val="0"/>
                <w:bCs w:val="0"/>
                <w:color w:val="auto"/>
                <w:kern w:val="0"/>
                <w:sz w:val="28"/>
                <w:szCs w:val="28"/>
                <w:highlight w:val="none"/>
              </w:rPr>
              <w:t>产权住宅用地</w:t>
            </w:r>
          </w:p>
        </w:tc>
        <w:tc>
          <w:tcPr>
            <w:tcW w:w="433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auto"/>
                <w:kern w:val="0"/>
                <w:sz w:val="28"/>
                <w:szCs w:val="28"/>
                <w:highlight w:val="none"/>
              </w:rPr>
            </w:pPr>
            <w:r>
              <w:rPr>
                <w:rFonts w:hint="eastAsia" w:ascii="黑体" w:hAnsi="黑体" w:eastAsia="黑体" w:cs="黑体"/>
                <w:b w:val="0"/>
                <w:bCs w:val="0"/>
                <w:color w:val="auto"/>
                <w:kern w:val="0"/>
                <w:sz w:val="28"/>
                <w:szCs w:val="28"/>
                <w:highlight w:val="none"/>
              </w:rPr>
              <w:t>租赁住宅用地</w:t>
            </w:r>
          </w:p>
        </w:tc>
        <w:tc>
          <w:tcPr>
            <w:tcW w:w="141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auto"/>
                <w:kern w:val="0"/>
                <w:sz w:val="24"/>
                <w:highlight w:val="none"/>
              </w:rPr>
            </w:pPr>
            <w:r>
              <w:rPr>
                <w:rFonts w:hint="eastAsia" w:ascii="黑体" w:hAnsi="黑体" w:eastAsia="黑体" w:cs="黑体"/>
                <w:b/>
                <w:bCs/>
                <w:color w:val="auto"/>
                <w:kern w:val="0"/>
                <w:sz w:val="28"/>
                <w:szCs w:val="28"/>
                <w:highlight w:val="none"/>
              </w:rPr>
              <w:t>其他住宅用地</w:t>
            </w:r>
          </w:p>
        </w:tc>
      </w:tr>
      <w:tr>
        <w:tblPrEx>
          <w:tblCellMar>
            <w:top w:w="0" w:type="dxa"/>
            <w:left w:w="108" w:type="dxa"/>
            <w:bottom w:w="0" w:type="dxa"/>
            <w:right w:w="108" w:type="dxa"/>
          </w:tblCellMar>
        </w:tblPrEx>
        <w:trPr>
          <w:trHeight w:val="361" w:hRule="atLeast"/>
        </w:trPr>
        <w:tc>
          <w:tcPr>
            <w:tcW w:w="108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0"/>
                <w:sz w:val="28"/>
                <w:szCs w:val="28"/>
                <w:highlight w:val="none"/>
              </w:rPr>
            </w:pPr>
          </w:p>
        </w:tc>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0"/>
                <w:sz w:val="28"/>
                <w:szCs w:val="28"/>
                <w:highlight w:val="none"/>
              </w:rPr>
            </w:pPr>
          </w:p>
        </w:tc>
        <w:tc>
          <w:tcPr>
            <w:tcW w:w="1395"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auto"/>
                <w:kern w:val="0"/>
                <w:sz w:val="28"/>
                <w:szCs w:val="28"/>
                <w:highlight w:val="none"/>
              </w:rPr>
            </w:pPr>
            <w:r>
              <w:rPr>
                <w:rFonts w:hint="eastAsia" w:ascii="黑体" w:hAnsi="黑体" w:eastAsia="黑体" w:cs="黑体"/>
                <w:b w:val="0"/>
                <w:bCs w:val="0"/>
                <w:color w:val="auto"/>
                <w:kern w:val="0"/>
                <w:sz w:val="28"/>
                <w:szCs w:val="28"/>
                <w:highlight w:val="none"/>
              </w:rPr>
              <w:t>商品</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auto"/>
                <w:kern w:val="0"/>
                <w:sz w:val="28"/>
                <w:szCs w:val="28"/>
                <w:highlight w:val="none"/>
              </w:rPr>
            </w:pPr>
            <w:r>
              <w:rPr>
                <w:rFonts w:hint="eastAsia" w:ascii="黑体" w:hAnsi="黑体" w:eastAsia="黑体" w:cs="黑体"/>
                <w:b w:val="0"/>
                <w:bCs w:val="0"/>
                <w:color w:val="auto"/>
                <w:kern w:val="0"/>
                <w:sz w:val="28"/>
                <w:szCs w:val="28"/>
                <w:highlight w:val="none"/>
              </w:rPr>
              <w:t>住宅用地</w:t>
            </w:r>
          </w:p>
        </w:tc>
        <w:tc>
          <w:tcPr>
            <w:tcW w:w="1800"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auto"/>
                <w:kern w:val="0"/>
                <w:sz w:val="28"/>
                <w:szCs w:val="28"/>
                <w:highlight w:val="none"/>
              </w:rPr>
            </w:pPr>
            <w:r>
              <w:rPr>
                <w:rFonts w:hint="eastAsia" w:ascii="黑体" w:hAnsi="黑体" w:eastAsia="黑体" w:cs="黑体"/>
                <w:b w:val="0"/>
                <w:bCs w:val="0"/>
                <w:color w:val="auto"/>
                <w:kern w:val="0"/>
                <w:sz w:val="28"/>
                <w:szCs w:val="28"/>
                <w:highlight w:val="none"/>
              </w:rPr>
              <w:t>共有产权</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auto"/>
                <w:kern w:val="0"/>
                <w:sz w:val="28"/>
                <w:szCs w:val="28"/>
                <w:highlight w:val="none"/>
              </w:rPr>
            </w:pPr>
            <w:r>
              <w:rPr>
                <w:rFonts w:hint="eastAsia" w:ascii="黑体" w:hAnsi="黑体" w:eastAsia="黑体" w:cs="黑体"/>
                <w:b w:val="0"/>
                <w:bCs w:val="0"/>
                <w:color w:val="auto"/>
                <w:kern w:val="0"/>
                <w:sz w:val="28"/>
                <w:szCs w:val="28"/>
                <w:highlight w:val="none"/>
              </w:rPr>
              <w:t>住宅用地</w:t>
            </w:r>
          </w:p>
        </w:tc>
        <w:tc>
          <w:tcPr>
            <w:tcW w:w="1350"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auto"/>
                <w:kern w:val="0"/>
                <w:sz w:val="28"/>
                <w:szCs w:val="28"/>
                <w:highlight w:val="none"/>
              </w:rPr>
            </w:pPr>
            <w:r>
              <w:rPr>
                <w:rFonts w:hint="eastAsia" w:ascii="黑体" w:hAnsi="黑体" w:eastAsia="黑体" w:cs="黑体"/>
                <w:b w:val="0"/>
                <w:bCs w:val="0"/>
                <w:color w:val="auto"/>
                <w:kern w:val="0"/>
                <w:sz w:val="28"/>
                <w:szCs w:val="28"/>
                <w:highlight w:val="none"/>
              </w:rPr>
              <w:t>小计</w:t>
            </w:r>
          </w:p>
        </w:tc>
        <w:tc>
          <w:tcPr>
            <w:tcW w:w="1560"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auto"/>
                <w:kern w:val="0"/>
                <w:sz w:val="28"/>
                <w:szCs w:val="28"/>
                <w:highlight w:val="none"/>
              </w:rPr>
            </w:pPr>
            <w:r>
              <w:rPr>
                <w:rFonts w:hint="eastAsia" w:ascii="黑体" w:hAnsi="黑体" w:eastAsia="黑体" w:cs="黑体"/>
                <w:b w:val="0"/>
                <w:bCs w:val="0"/>
                <w:color w:val="auto"/>
                <w:kern w:val="0"/>
                <w:sz w:val="28"/>
                <w:szCs w:val="28"/>
                <w:highlight w:val="none"/>
              </w:rPr>
              <w:t>保障性租赁住宅用地</w:t>
            </w:r>
          </w:p>
        </w:tc>
        <w:tc>
          <w:tcPr>
            <w:tcW w:w="1485"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auto"/>
                <w:kern w:val="0"/>
                <w:sz w:val="28"/>
                <w:szCs w:val="28"/>
                <w:highlight w:val="none"/>
              </w:rPr>
            </w:pPr>
            <w:r>
              <w:rPr>
                <w:rFonts w:hint="eastAsia" w:ascii="黑体" w:hAnsi="黑体" w:eastAsia="黑体" w:cs="黑体"/>
                <w:b w:val="0"/>
                <w:bCs w:val="0"/>
                <w:color w:val="auto"/>
                <w:kern w:val="0"/>
                <w:sz w:val="28"/>
                <w:szCs w:val="28"/>
                <w:highlight w:val="none"/>
              </w:rPr>
              <w:t>市场化租赁住宅用地</w:t>
            </w:r>
          </w:p>
        </w:tc>
        <w:tc>
          <w:tcPr>
            <w:tcW w:w="1290"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auto"/>
                <w:kern w:val="0"/>
                <w:sz w:val="28"/>
                <w:szCs w:val="28"/>
                <w:highlight w:val="none"/>
              </w:rPr>
            </w:pPr>
            <w:r>
              <w:rPr>
                <w:rFonts w:hint="eastAsia" w:ascii="黑体" w:hAnsi="黑体" w:eastAsia="黑体" w:cs="黑体"/>
                <w:b w:val="0"/>
                <w:bCs w:val="0"/>
                <w:color w:val="auto"/>
                <w:kern w:val="0"/>
                <w:sz w:val="28"/>
                <w:szCs w:val="28"/>
                <w:highlight w:val="none"/>
              </w:rPr>
              <w:t>小计</w:t>
            </w: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0"/>
                <w:sz w:val="24"/>
                <w:highlight w:val="none"/>
              </w:rPr>
            </w:pPr>
          </w:p>
        </w:tc>
      </w:tr>
      <w:tr>
        <w:tblPrEx>
          <w:tblCellMar>
            <w:top w:w="0" w:type="dxa"/>
            <w:left w:w="108" w:type="dxa"/>
            <w:bottom w:w="0" w:type="dxa"/>
            <w:right w:w="108" w:type="dxa"/>
          </w:tblCellMar>
        </w:tblPrEx>
        <w:trPr>
          <w:trHeight w:val="361" w:hRule="atLeast"/>
        </w:trPr>
        <w:tc>
          <w:tcPr>
            <w:tcW w:w="108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0"/>
                <w:sz w:val="24"/>
                <w:highlight w:val="none"/>
              </w:rPr>
            </w:pPr>
          </w:p>
        </w:tc>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0"/>
                <w:sz w:val="24"/>
                <w:highlight w:val="none"/>
              </w:rPr>
            </w:pPr>
          </w:p>
        </w:tc>
        <w:tc>
          <w:tcPr>
            <w:tcW w:w="13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0"/>
                <w:sz w:val="24"/>
                <w:highlight w:val="none"/>
              </w:rPr>
            </w:pPr>
          </w:p>
        </w:tc>
        <w:tc>
          <w:tcPr>
            <w:tcW w:w="180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0"/>
                <w:sz w:val="24"/>
                <w:highlight w:val="none"/>
              </w:rPr>
            </w:pPr>
          </w:p>
        </w:tc>
        <w:tc>
          <w:tcPr>
            <w:tcW w:w="135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0"/>
                <w:sz w:val="24"/>
                <w:highlight w:val="none"/>
              </w:rPr>
            </w:pPr>
          </w:p>
        </w:tc>
        <w:tc>
          <w:tcPr>
            <w:tcW w:w="156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0"/>
                <w:sz w:val="24"/>
                <w:highlight w:val="none"/>
              </w:rPr>
            </w:pPr>
          </w:p>
        </w:tc>
        <w:tc>
          <w:tcPr>
            <w:tcW w:w="148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0"/>
                <w:sz w:val="24"/>
                <w:highlight w:val="none"/>
              </w:rPr>
            </w:pPr>
          </w:p>
        </w:tc>
        <w:tc>
          <w:tcPr>
            <w:tcW w:w="129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0"/>
                <w:sz w:val="24"/>
                <w:highlight w:val="none"/>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0"/>
                <w:sz w:val="24"/>
                <w:highlight w:val="none"/>
              </w:rPr>
            </w:pPr>
          </w:p>
        </w:tc>
      </w:tr>
      <w:tr>
        <w:tblPrEx>
          <w:tblCellMar>
            <w:top w:w="0" w:type="dxa"/>
            <w:left w:w="108" w:type="dxa"/>
            <w:bottom w:w="0" w:type="dxa"/>
            <w:right w:w="108" w:type="dxa"/>
          </w:tblCellMar>
        </w:tblPrEx>
        <w:trPr>
          <w:trHeight w:val="361" w:hRule="atLeast"/>
        </w:trPr>
        <w:tc>
          <w:tcPr>
            <w:tcW w:w="108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8"/>
                <w:szCs w:val="28"/>
                <w:highlight w:val="none"/>
              </w:rPr>
            </w:pPr>
          </w:p>
        </w:tc>
        <w:tc>
          <w:tcPr>
            <w:tcW w:w="13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①</w:t>
            </w:r>
          </w:p>
        </w:tc>
        <w:tc>
          <w:tcPr>
            <w:tcW w:w="13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②</w:t>
            </w:r>
          </w:p>
        </w:tc>
        <w:tc>
          <w:tcPr>
            <w:tcW w:w="18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③</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④</w:t>
            </w:r>
          </w:p>
        </w:tc>
        <w:tc>
          <w:tcPr>
            <w:tcW w:w="1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⑤</w:t>
            </w:r>
          </w:p>
        </w:tc>
        <w:tc>
          <w:tcPr>
            <w:tcW w:w="14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⑥</w:t>
            </w:r>
          </w:p>
        </w:tc>
        <w:tc>
          <w:tcPr>
            <w:tcW w:w="12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⑦</w:t>
            </w: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⑧</w:t>
            </w:r>
          </w:p>
        </w:tc>
      </w:tr>
      <w:tr>
        <w:tblPrEx>
          <w:tblCellMar>
            <w:top w:w="0" w:type="dxa"/>
            <w:left w:w="108" w:type="dxa"/>
            <w:bottom w:w="0" w:type="dxa"/>
            <w:right w:w="108" w:type="dxa"/>
          </w:tblCellMar>
        </w:tblPrEx>
        <w:trPr>
          <w:trHeight w:val="361" w:hRule="atLeast"/>
        </w:trPr>
        <w:tc>
          <w:tcPr>
            <w:tcW w:w="108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kern w:val="0"/>
                <w:sz w:val="28"/>
                <w:szCs w:val="28"/>
                <w:highlight w:val="none"/>
              </w:rPr>
            </w:pPr>
            <w:r>
              <w:rPr>
                <w:rFonts w:hint="eastAsia" w:ascii="仿宋_GB2312" w:hAnsi="仿宋_GB2312" w:eastAsia="仿宋_GB2312" w:cs="仿宋_GB2312"/>
                <w:b w:val="0"/>
                <w:bCs w:val="0"/>
                <w:color w:val="auto"/>
                <w:kern w:val="0"/>
                <w:sz w:val="28"/>
                <w:szCs w:val="28"/>
                <w:highlight w:val="none"/>
              </w:rPr>
              <w:t>合计</w:t>
            </w:r>
          </w:p>
        </w:tc>
        <w:tc>
          <w:tcPr>
            <w:tcW w:w="13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kern w:val="0"/>
                <w:sz w:val="28"/>
                <w:szCs w:val="28"/>
                <w:highlight w:val="none"/>
                <w:lang w:val="en-US" w:eastAsia="zh-CN"/>
              </w:rPr>
            </w:pPr>
            <w:r>
              <w:rPr>
                <w:rFonts w:hint="eastAsia" w:ascii="仿宋_GB2312" w:hAnsi="仿宋_GB2312" w:eastAsia="仿宋_GB2312" w:cs="仿宋_GB2312"/>
                <w:b w:val="0"/>
                <w:bCs w:val="0"/>
                <w:color w:val="auto"/>
                <w:kern w:val="0"/>
                <w:sz w:val="28"/>
                <w:szCs w:val="28"/>
                <w:highlight w:val="none"/>
                <w:lang w:val="en-US" w:eastAsia="zh-CN"/>
              </w:rPr>
              <w:t>20.1223</w:t>
            </w:r>
          </w:p>
        </w:tc>
        <w:tc>
          <w:tcPr>
            <w:tcW w:w="13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kern w:val="0"/>
                <w:sz w:val="28"/>
                <w:szCs w:val="28"/>
                <w:highlight w:val="none"/>
                <w:lang w:val="en-US" w:eastAsia="zh-CN"/>
              </w:rPr>
            </w:pPr>
            <w:r>
              <w:rPr>
                <w:rFonts w:hint="eastAsia" w:ascii="仿宋_GB2312" w:hAnsi="仿宋_GB2312" w:eastAsia="仿宋_GB2312" w:cs="仿宋_GB2312"/>
                <w:b w:val="0"/>
                <w:bCs w:val="0"/>
                <w:color w:val="auto"/>
                <w:kern w:val="0"/>
                <w:sz w:val="28"/>
                <w:szCs w:val="28"/>
                <w:highlight w:val="none"/>
                <w:lang w:val="en-US" w:eastAsia="zh-CN"/>
              </w:rPr>
              <w:t>15.7332</w:t>
            </w:r>
          </w:p>
        </w:tc>
        <w:tc>
          <w:tcPr>
            <w:tcW w:w="18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kern w:val="0"/>
                <w:sz w:val="28"/>
                <w:szCs w:val="28"/>
                <w:highlight w:val="none"/>
              </w:rPr>
            </w:pP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kern w:val="0"/>
                <w:sz w:val="28"/>
                <w:szCs w:val="28"/>
                <w:highlight w:val="none"/>
                <w:lang w:val="en-US" w:eastAsia="zh-CN"/>
              </w:rPr>
            </w:pPr>
            <w:r>
              <w:rPr>
                <w:rFonts w:hint="eastAsia" w:ascii="仿宋_GB2312" w:hAnsi="仿宋_GB2312" w:eastAsia="仿宋_GB2312" w:cs="仿宋_GB2312"/>
                <w:b w:val="0"/>
                <w:bCs w:val="0"/>
                <w:color w:val="auto"/>
                <w:kern w:val="0"/>
                <w:sz w:val="28"/>
                <w:szCs w:val="28"/>
                <w:highlight w:val="none"/>
                <w:lang w:val="en-US" w:eastAsia="zh-CN"/>
              </w:rPr>
              <w:t>15.7332</w:t>
            </w:r>
          </w:p>
        </w:tc>
        <w:tc>
          <w:tcPr>
            <w:tcW w:w="1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kern w:val="0"/>
                <w:sz w:val="28"/>
                <w:szCs w:val="28"/>
                <w:highlight w:val="none"/>
                <w:lang w:val="en-US" w:eastAsia="zh-CN"/>
              </w:rPr>
            </w:pPr>
            <w:r>
              <w:rPr>
                <w:rFonts w:hint="eastAsia" w:ascii="仿宋_GB2312" w:hAnsi="仿宋_GB2312" w:eastAsia="仿宋_GB2312" w:cs="仿宋_GB2312"/>
                <w:b w:val="0"/>
                <w:bCs w:val="0"/>
                <w:color w:val="auto"/>
                <w:kern w:val="0"/>
                <w:sz w:val="28"/>
                <w:szCs w:val="28"/>
                <w:highlight w:val="none"/>
                <w:lang w:val="en-US" w:eastAsia="zh-CN"/>
              </w:rPr>
              <w:t>4.3891</w:t>
            </w:r>
          </w:p>
        </w:tc>
        <w:tc>
          <w:tcPr>
            <w:tcW w:w="14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kern w:val="0"/>
                <w:sz w:val="28"/>
                <w:szCs w:val="28"/>
                <w:highlight w:val="none"/>
              </w:rPr>
            </w:pPr>
          </w:p>
        </w:tc>
        <w:tc>
          <w:tcPr>
            <w:tcW w:w="12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kern w:val="0"/>
                <w:sz w:val="28"/>
                <w:szCs w:val="28"/>
                <w:highlight w:val="none"/>
                <w:lang w:val="en-US" w:eastAsia="zh-CN"/>
              </w:rPr>
            </w:pPr>
            <w:r>
              <w:rPr>
                <w:rFonts w:hint="eastAsia" w:ascii="仿宋_GB2312" w:hAnsi="仿宋_GB2312" w:eastAsia="仿宋_GB2312" w:cs="仿宋_GB2312"/>
                <w:b w:val="0"/>
                <w:bCs w:val="0"/>
                <w:color w:val="auto"/>
                <w:kern w:val="0"/>
                <w:sz w:val="28"/>
                <w:szCs w:val="28"/>
                <w:highlight w:val="none"/>
                <w:lang w:val="en-US" w:eastAsia="zh-CN"/>
              </w:rPr>
              <w:t>4.3891</w:t>
            </w: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0"/>
                <w:sz w:val="28"/>
                <w:szCs w:val="28"/>
                <w:highlight w:val="yellow"/>
                <w:lang w:val="en-US" w:eastAsia="zh-CN"/>
              </w:rPr>
            </w:pPr>
          </w:p>
        </w:tc>
      </w:tr>
      <w:tr>
        <w:tblPrEx>
          <w:tblCellMar>
            <w:top w:w="0" w:type="dxa"/>
            <w:left w:w="108" w:type="dxa"/>
            <w:bottom w:w="0" w:type="dxa"/>
            <w:right w:w="108" w:type="dxa"/>
          </w:tblCellMar>
        </w:tblPrEx>
        <w:trPr>
          <w:trHeight w:val="361" w:hRule="atLeast"/>
        </w:trPr>
        <w:tc>
          <w:tcPr>
            <w:tcW w:w="108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kern w:val="0"/>
                <w:sz w:val="28"/>
                <w:szCs w:val="28"/>
                <w:highlight w:val="none"/>
                <w:lang w:eastAsia="zh-CN"/>
              </w:rPr>
            </w:pPr>
            <w:r>
              <w:rPr>
                <w:rFonts w:hint="eastAsia" w:ascii="仿宋_GB2312" w:hAnsi="仿宋_GB2312" w:eastAsia="仿宋_GB2312" w:cs="仿宋_GB2312"/>
                <w:b w:val="0"/>
                <w:bCs w:val="0"/>
                <w:color w:val="auto"/>
                <w:kern w:val="0"/>
                <w:sz w:val="28"/>
                <w:szCs w:val="28"/>
                <w:highlight w:val="none"/>
                <w:lang w:eastAsia="zh-CN"/>
              </w:rPr>
              <w:t>柳林县</w:t>
            </w:r>
          </w:p>
        </w:tc>
        <w:tc>
          <w:tcPr>
            <w:tcW w:w="13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kern w:val="0"/>
                <w:sz w:val="28"/>
                <w:szCs w:val="28"/>
                <w:highlight w:val="none"/>
                <w:lang w:val="en-US" w:eastAsia="zh-CN"/>
              </w:rPr>
            </w:pPr>
            <w:r>
              <w:rPr>
                <w:rFonts w:hint="eastAsia" w:ascii="仿宋_GB2312" w:hAnsi="仿宋_GB2312" w:eastAsia="仿宋_GB2312" w:cs="仿宋_GB2312"/>
                <w:b w:val="0"/>
                <w:bCs w:val="0"/>
                <w:color w:val="auto"/>
                <w:kern w:val="0"/>
                <w:sz w:val="28"/>
                <w:szCs w:val="28"/>
                <w:highlight w:val="none"/>
                <w:lang w:val="en-US" w:eastAsia="zh-CN"/>
              </w:rPr>
              <w:t>20.1223</w:t>
            </w:r>
          </w:p>
        </w:tc>
        <w:tc>
          <w:tcPr>
            <w:tcW w:w="13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kern w:val="0"/>
                <w:sz w:val="28"/>
                <w:szCs w:val="28"/>
                <w:highlight w:val="none"/>
                <w:lang w:val="en-US" w:eastAsia="zh-CN"/>
              </w:rPr>
            </w:pPr>
            <w:r>
              <w:rPr>
                <w:rFonts w:hint="eastAsia" w:ascii="仿宋_GB2312" w:hAnsi="仿宋_GB2312" w:eastAsia="仿宋_GB2312" w:cs="仿宋_GB2312"/>
                <w:b w:val="0"/>
                <w:bCs w:val="0"/>
                <w:color w:val="auto"/>
                <w:kern w:val="0"/>
                <w:sz w:val="28"/>
                <w:szCs w:val="28"/>
                <w:highlight w:val="none"/>
                <w:lang w:val="en-US" w:eastAsia="zh-CN"/>
              </w:rPr>
              <w:t>15.7332</w:t>
            </w:r>
          </w:p>
        </w:tc>
        <w:tc>
          <w:tcPr>
            <w:tcW w:w="18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kern w:val="0"/>
                <w:sz w:val="28"/>
                <w:szCs w:val="28"/>
                <w:highlight w:val="none"/>
              </w:rPr>
            </w:pP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kern w:val="0"/>
                <w:sz w:val="28"/>
                <w:szCs w:val="28"/>
                <w:highlight w:val="none"/>
                <w:lang w:val="en-US" w:eastAsia="zh-CN"/>
              </w:rPr>
            </w:pPr>
            <w:r>
              <w:rPr>
                <w:rFonts w:hint="eastAsia" w:ascii="仿宋_GB2312" w:hAnsi="仿宋_GB2312" w:eastAsia="仿宋_GB2312" w:cs="仿宋_GB2312"/>
                <w:b w:val="0"/>
                <w:bCs w:val="0"/>
                <w:color w:val="auto"/>
                <w:kern w:val="0"/>
                <w:sz w:val="28"/>
                <w:szCs w:val="28"/>
                <w:highlight w:val="none"/>
                <w:lang w:val="en-US" w:eastAsia="zh-CN"/>
              </w:rPr>
              <w:t>15.7332</w:t>
            </w:r>
          </w:p>
        </w:tc>
        <w:tc>
          <w:tcPr>
            <w:tcW w:w="1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kern w:val="0"/>
                <w:sz w:val="28"/>
                <w:szCs w:val="28"/>
                <w:highlight w:val="none"/>
                <w:lang w:val="en-US" w:eastAsia="zh-CN"/>
              </w:rPr>
            </w:pPr>
            <w:r>
              <w:rPr>
                <w:rFonts w:hint="eastAsia" w:ascii="仿宋_GB2312" w:hAnsi="仿宋_GB2312" w:eastAsia="仿宋_GB2312" w:cs="仿宋_GB2312"/>
                <w:b w:val="0"/>
                <w:bCs w:val="0"/>
                <w:color w:val="auto"/>
                <w:kern w:val="0"/>
                <w:sz w:val="28"/>
                <w:szCs w:val="28"/>
                <w:highlight w:val="none"/>
                <w:lang w:val="en-US" w:eastAsia="zh-CN"/>
              </w:rPr>
              <w:t>4.3891</w:t>
            </w:r>
          </w:p>
        </w:tc>
        <w:tc>
          <w:tcPr>
            <w:tcW w:w="14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kern w:val="0"/>
                <w:sz w:val="28"/>
                <w:szCs w:val="28"/>
                <w:highlight w:val="none"/>
              </w:rPr>
            </w:pPr>
          </w:p>
        </w:tc>
        <w:tc>
          <w:tcPr>
            <w:tcW w:w="12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kern w:val="0"/>
                <w:sz w:val="28"/>
                <w:szCs w:val="28"/>
                <w:highlight w:val="none"/>
                <w:lang w:val="en-US" w:eastAsia="zh-CN"/>
              </w:rPr>
            </w:pPr>
            <w:r>
              <w:rPr>
                <w:rFonts w:hint="eastAsia" w:ascii="仿宋_GB2312" w:hAnsi="仿宋_GB2312" w:eastAsia="仿宋_GB2312" w:cs="仿宋_GB2312"/>
                <w:b w:val="0"/>
                <w:bCs w:val="0"/>
                <w:color w:val="auto"/>
                <w:kern w:val="0"/>
                <w:sz w:val="28"/>
                <w:szCs w:val="28"/>
                <w:highlight w:val="none"/>
                <w:lang w:val="en-US" w:eastAsia="zh-CN"/>
              </w:rPr>
              <w:t>4.3891</w:t>
            </w: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kern w:val="0"/>
                <w:sz w:val="28"/>
                <w:szCs w:val="28"/>
                <w:highlight w:val="yellow"/>
              </w:rPr>
            </w:pPr>
          </w:p>
        </w:tc>
      </w:tr>
    </w:tbl>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注：1.本示范文本及样式表格，是对《国土资源部关于印发&lt;国有建设用地供应计划编制规范&gt;（试行）的通知》（国土资发〔2010〕117号）的补充，住宅用地的土地性质为国有建设用地。</w:t>
      </w:r>
    </w:p>
    <w:p>
      <w:pPr>
        <w:keepNext w:val="0"/>
        <w:keepLines w:val="0"/>
        <w:pageBreakBefore w:val="0"/>
        <w:widowControl w:val="0"/>
        <w:kinsoku/>
        <w:wordWrap/>
        <w:overflowPunct/>
        <w:topLinePunct w:val="0"/>
        <w:autoSpaceDE/>
        <w:autoSpaceDN/>
        <w:bidi w:val="0"/>
        <w:adjustRightInd/>
        <w:snapToGrid/>
        <w:spacing w:line="578" w:lineRule="exact"/>
        <w:ind w:firstLine="1125" w:firstLineChars="402"/>
        <w:textAlignment w:val="auto"/>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2.住宅用地类型按照产权性质，划分为产权住宅用地、租赁住宅用地、其他住宅用地。其中，其他住宅用地是指无法归类到前两大类的住宅用地，如回迁安置房用地等。</w:t>
      </w:r>
    </w:p>
    <w:p>
      <w:pPr>
        <w:keepNext w:val="0"/>
        <w:keepLines w:val="0"/>
        <w:pageBreakBefore w:val="0"/>
        <w:widowControl w:val="0"/>
        <w:kinsoku/>
        <w:wordWrap/>
        <w:overflowPunct/>
        <w:topLinePunct w:val="0"/>
        <w:autoSpaceDE/>
        <w:autoSpaceDN/>
        <w:bidi w:val="0"/>
        <w:adjustRightInd/>
        <w:snapToGrid/>
        <w:spacing w:line="578" w:lineRule="exact"/>
        <w:ind w:firstLine="1125" w:firstLineChars="402"/>
        <w:textAlignment w:val="auto"/>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3.租赁住宅用地分为保障性租赁住宅用地和市场化租赁住宅用地，其中保障性租赁住宅用地包括用于建设公租房等带有保障性质的租赁住宅用地，其余为市场化租赁住宅用地。在土地来源上，包括通过集中建设或者配建方式新增供应的土地，不含通过改建等方式盘活的存量土地。</w:t>
      </w:r>
    </w:p>
    <w:p>
      <w:pPr>
        <w:keepNext w:val="0"/>
        <w:keepLines w:val="0"/>
        <w:pageBreakBefore w:val="0"/>
        <w:widowControl w:val="0"/>
        <w:kinsoku/>
        <w:wordWrap/>
        <w:overflowPunct/>
        <w:topLinePunct w:val="0"/>
        <w:autoSpaceDE/>
        <w:autoSpaceDN/>
        <w:bidi w:val="0"/>
        <w:adjustRightInd/>
        <w:snapToGrid/>
        <w:spacing w:line="578" w:lineRule="exact"/>
        <w:ind w:firstLine="1125" w:firstLineChars="402"/>
        <w:textAlignment w:val="auto"/>
        <w:rPr>
          <w:rFonts w:hint="eastAsia" w:ascii="仿宋" w:hAnsi="仿宋" w:eastAsia="仿宋" w:cs="仿宋"/>
          <w:color w:val="auto"/>
          <w:sz w:val="28"/>
          <w:szCs w:val="28"/>
        </w:rPr>
        <w:sectPr>
          <w:pgSz w:w="16838" w:h="11906" w:orient="landscape"/>
          <w:pgMar w:top="1587" w:right="2041" w:bottom="1474" w:left="2041" w:header="851" w:footer="992" w:gutter="0"/>
          <w:pgNumType w:fmt="decimalFullWidth"/>
          <w:cols w:space="720" w:num="1"/>
          <w:docGrid w:type="lines" w:linePitch="312" w:charSpace="0"/>
        </w:sectPr>
      </w:pPr>
      <w:r>
        <w:rPr>
          <w:rFonts w:hint="eastAsia" w:ascii="仿宋_GB2312" w:hAnsi="Times New Roman" w:eastAsia="仿宋_GB2312" w:cs="Times New Roman"/>
          <w:color w:val="auto"/>
          <w:sz w:val="28"/>
          <w:szCs w:val="28"/>
        </w:rPr>
        <w:t>4.大城市供应的租赁住宅用地一般不低于住宅用地总面积的10%。即</w:t>
      </w:r>
      <w:r>
        <w:rPr>
          <w:rFonts w:hint="eastAsia" w:ascii="仿宋_GB2312" w:hAnsi="Times New Roman" w:eastAsia="仿宋_GB2312" w:cs="Times New Roman"/>
          <w:color w:val="auto"/>
          <w:sz w:val="28"/>
          <w:szCs w:val="28"/>
          <w:lang w:eastAsia="zh-CN"/>
        </w:rPr>
        <w:t>⑦</w:t>
      </w:r>
      <w:r>
        <w:rPr>
          <w:rFonts w:hint="eastAsia" w:ascii="仿宋_GB2312" w:hAnsi="Times New Roman" w:eastAsia="仿宋_GB2312" w:cs="Times New Roman"/>
          <w:color w:val="auto"/>
          <w:sz w:val="28"/>
          <w:szCs w:val="28"/>
        </w:rPr>
        <w:t>=⑤+⑥，且</w:t>
      </w:r>
      <w:r>
        <w:rPr>
          <w:rFonts w:hint="eastAsia" w:ascii="仿宋_GB2312" w:hAnsi="Times New Roman" w:eastAsia="仿宋_GB2312" w:cs="Times New Roman"/>
          <w:color w:val="auto"/>
          <w:sz w:val="28"/>
          <w:szCs w:val="28"/>
          <w:lang w:eastAsia="zh-CN"/>
        </w:rPr>
        <w:t>⑦</w:t>
      </w:r>
      <w:r>
        <w:rPr>
          <w:rFonts w:hint="eastAsia" w:ascii="仿宋_GB2312" w:hAnsi="Times New Roman" w:eastAsia="仿宋_GB2312" w:cs="Times New Roman"/>
          <w:color w:val="auto"/>
          <w:sz w:val="28"/>
          <w:szCs w:val="28"/>
        </w:rPr>
        <w:t>≥①*10%。</w:t>
      </w:r>
    </w:p>
    <w:p/>
    <w:sectPr>
      <w:pgSz w:w="16839" w:h="11906" w:orient="landscape"/>
      <w:pgMar w:top="1587" w:right="2098" w:bottom="1474" w:left="1984" w:header="850" w:footer="1587" w:gutter="0"/>
      <w:pgNumType w:fmt="decimal"/>
      <w:cols w:space="0" w:num="1"/>
      <w:rtlGutter w:val="0"/>
      <w:docGrid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1453CC"/>
    <w:rsid w:val="071811DA"/>
    <w:rsid w:val="0B8E4692"/>
    <w:rsid w:val="14985FF6"/>
    <w:rsid w:val="235D4744"/>
    <w:rsid w:val="2F14368A"/>
    <w:rsid w:val="31C04607"/>
    <w:rsid w:val="4A2E0100"/>
    <w:rsid w:val="4CB24CE8"/>
    <w:rsid w:val="5E11407C"/>
    <w:rsid w:val="651453CC"/>
    <w:rsid w:val="74FF1EF1"/>
    <w:rsid w:val="757628B3"/>
    <w:rsid w:val="75DA199C"/>
    <w:rsid w:val="76503783"/>
    <w:rsid w:val="77C54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UserStyle_0"/>
    <w:basedOn w:val="3"/>
    <w:qFormat/>
    <w:uiPriority w:val="0"/>
    <w:pPr>
      <w:ind w:firstLine="200" w:firstLineChars="200"/>
    </w:pPr>
    <w:rPr>
      <w:rFonts w:ascii="Calibri" w:hAnsi="Calibri" w:eastAsia="宋体" w:cs="Times New Roman"/>
      <w:lang w:bidi="ar-SA"/>
    </w:rPr>
  </w:style>
  <w:style w:type="paragraph" w:customStyle="1" w:styleId="3">
    <w:name w:val="UserStyle_1"/>
    <w:basedOn w:val="1"/>
    <w:qFormat/>
    <w:uiPriority w:val="0"/>
    <w:pPr>
      <w:spacing w:after="120"/>
      <w:ind w:left="200" w:leftChars="200"/>
    </w:pPr>
    <w:rPr>
      <w:rFonts w:ascii="Calibri" w:hAnsi="Calibri" w:eastAsia="宋体" w:cs="Times New Roman"/>
      <w:lang w:bidi="ar-SA"/>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2023-08-08T03:19:00Z</dcterms:created>
  <dc:creator>Administrator</dc:creator>
  <cp:lastModifiedBy>Administrator</cp:lastModifiedBy>
  <dcterms:modified xsi:type="dcterms:W3CDTF">2023-08-08T03:41:01Z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8CB2F74DA42E452CB77F5F3C058F73BA</vt:lpwstr>
  </property>
</Properties>
</file>