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78EE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color w:val="333333"/>
          <w:sz w:val="48"/>
          <w:szCs w:val="48"/>
          <w:shd w:val="clear" w:fill="FFFFFF"/>
          <w:lang w:eastAsia="zh-CN"/>
        </w:rPr>
      </w:pPr>
    </w:p>
    <w:p w14:paraId="359FE28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color w:val="333333"/>
          <w:sz w:val="48"/>
          <w:szCs w:val="48"/>
          <w:shd w:val="clear" w:fill="FFFFFF"/>
          <w:lang w:eastAsia="zh-CN"/>
        </w:rPr>
      </w:pPr>
    </w:p>
    <w:p w14:paraId="1C8F937F">
      <w:pPr>
        <w:keepNext w:val="0"/>
        <w:keepLines w:val="0"/>
        <w:pageBreakBefore w:val="0"/>
        <w:kinsoku/>
        <w:wordWrap/>
        <w:overflowPunct/>
        <w:topLinePunct w:val="0"/>
        <w:autoSpaceDE/>
        <w:autoSpaceDN/>
        <w:bidi w:val="0"/>
        <w:adjustRightInd/>
        <w:snapToGrid/>
        <w:spacing w:line="240" w:lineRule="exact"/>
        <w:textAlignment w:val="auto"/>
        <w:rPr>
          <w:rFonts w:hint="eastAsia"/>
          <w:sz w:val="48"/>
          <w:szCs w:val="48"/>
          <w:lang w:eastAsia="zh-CN"/>
        </w:rPr>
      </w:pPr>
    </w:p>
    <w:p w14:paraId="1ADE0178">
      <w:pPr>
        <w:pStyle w:val="2"/>
        <w:keepNext w:val="0"/>
        <w:keepLines w:val="0"/>
        <w:widowControl/>
        <w:suppressLineNumbers w:val="0"/>
        <w:spacing w:before="0" w:beforeAutospacing="0" w:after="0" w:afterAutospacing="0" w:line="30" w:lineRule="atLeast"/>
        <w:ind w:left="0" w:right="0"/>
        <w:jc w:val="center"/>
        <w:rPr>
          <w:color w:val="333333"/>
          <w:sz w:val="48"/>
          <w:szCs w:val="48"/>
          <w:shd w:val="clear" w:fill="FFFFFF"/>
        </w:rPr>
      </w:pPr>
      <w:r>
        <w:rPr>
          <w:rFonts w:hint="eastAsia"/>
          <w:color w:val="333333"/>
          <w:sz w:val="48"/>
          <w:szCs w:val="48"/>
          <w:shd w:val="clear" w:fill="FFFFFF"/>
          <w:lang w:eastAsia="zh-CN"/>
        </w:rPr>
        <w:t>柳林县</w:t>
      </w:r>
      <w:r>
        <w:rPr>
          <w:color w:val="333333"/>
          <w:sz w:val="48"/>
          <w:szCs w:val="48"/>
          <w:shd w:val="clear" w:fill="FFFFFF"/>
        </w:rPr>
        <w:t>2019年国民经济</w:t>
      </w:r>
    </w:p>
    <w:p w14:paraId="78D65B5D">
      <w:pPr>
        <w:pStyle w:val="2"/>
        <w:keepNext w:val="0"/>
        <w:keepLines w:val="0"/>
        <w:widowControl/>
        <w:suppressLineNumbers w:val="0"/>
        <w:spacing w:before="0" w:beforeAutospacing="0" w:after="0" w:afterAutospacing="0" w:line="30" w:lineRule="atLeast"/>
        <w:ind w:left="0" w:right="0"/>
        <w:jc w:val="center"/>
        <w:rPr>
          <w:sz w:val="48"/>
          <w:szCs w:val="48"/>
        </w:rPr>
      </w:pPr>
      <w:r>
        <w:rPr>
          <w:color w:val="333333"/>
          <w:sz w:val="48"/>
          <w:szCs w:val="48"/>
          <w:shd w:val="clear" w:fill="FFFFFF"/>
        </w:rPr>
        <w:t>和社会发展统计公报</w:t>
      </w:r>
    </w:p>
    <w:p w14:paraId="6CA437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0"/>
        <w:jc w:val="both"/>
        <w:rPr>
          <w:rFonts w:hint="eastAsia" w:ascii="宋体" w:hAnsi="宋体" w:eastAsia="宋体" w:cs="宋体"/>
          <w:b/>
          <w:bCs/>
          <w:color w:val="333333"/>
          <w:kern w:val="0"/>
          <w:sz w:val="28"/>
          <w:szCs w:val="28"/>
          <w:shd w:val="clear" w:fill="FFFFFF"/>
          <w:lang w:val="en-US" w:eastAsia="zh-CN" w:bidi="ar"/>
        </w:rPr>
      </w:pPr>
    </w:p>
    <w:p w14:paraId="2C74C8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0"/>
        <w:jc w:val="center"/>
        <w:rPr>
          <w:rFonts w:ascii="宋体" w:hAnsi="宋体" w:eastAsia="宋体" w:cs="宋体"/>
          <w:b/>
          <w:bCs/>
          <w:color w:val="333333"/>
          <w:kern w:val="0"/>
          <w:sz w:val="28"/>
          <w:szCs w:val="28"/>
          <w:shd w:val="clear" w:fill="FFFFFF"/>
          <w:lang w:val="en-US" w:eastAsia="zh-CN" w:bidi="ar"/>
        </w:rPr>
      </w:pPr>
      <w:r>
        <w:rPr>
          <w:rFonts w:hint="eastAsia" w:ascii="宋体" w:hAnsi="宋体" w:eastAsia="宋体" w:cs="宋体"/>
          <w:b/>
          <w:bCs/>
          <w:color w:val="333333"/>
          <w:kern w:val="0"/>
          <w:sz w:val="28"/>
          <w:szCs w:val="28"/>
          <w:shd w:val="clear" w:fill="FFFFFF"/>
          <w:lang w:val="en-US" w:eastAsia="zh-CN" w:bidi="ar"/>
        </w:rPr>
        <w:t>柳</w:t>
      </w:r>
      <w:r>
        <w:rPr>
          <w:rFonts w:ascii="宋体" w:hAnsi="宋体" w:eastAsia="宋体" w:cs="宋体"/>
          <w:b/>
          <w:bCs/>
          <w:color w:val="333333"/>
          <w:kern w:val="0"/>
          <w:sz w:val="28"/>
          <w:szCs w:val="28"/>
          <w:shd w:val="clear" w:fill="FFFFFF"/>
          <w:lang w:val="en-US" w:eastAsia="zh-CN" w:bidi="ar"/>
        </w:rPr>
        <w:t xml:space="preserve"> </w:t>
      </w:r>
      <w:r>
        <w:rPr>
          <w:rFonts w:hint="eastAsia" w:ascii="宋体" w:hAnsi="宋体" w:eastAsia="宋体" w:cs="宋体"/>
          <w:b/>
          <w:bCs/>
          <w:color w:val="333333"/>
          <w:kern w:val="0"/>
          <w:sz w:val="28"/>
          <w:szCs w:val="28"/>
          <w:shd w:val="clear" w:fill="FFFFFF"/>
          <w:lang w:val="en-US" w:eastAsia="zh-CN" w:bidi="ar"/>
        </w:rPr>
        <w:t>林</w:t>
      </w:r>
      <w:r>
        <w:rPr>
          <w:rFonts w:ascii="宋体" w:hAnsi="宋体" w:eastAsia="宋体" w:cs="宋体"/>
          <w:b/>
          <w:bCs/>
          <w:color w:val="333333"/>
          <w:kern w:val="0"/>
          <w:sz w:val="28"/>
          <w:szCs w:val="28"/>
          <w:shd w:val="clear" w:fill="FFFFFF"/>
          <w:lang w:val="en-US" w:eastAsia="zh-CN" w:bidi="ar"/>
        </w:rPr>
        <w:t xml:space="preserve"> </w:t>
      </w:r>
      <w:r>
        <w:rPr>
          <w:rFonts w:hint="eastAsia" w:ascii="宋体" w:hAnsi="宋体" w:eastAsia="宋体" w:cs="宋体"/>
          <w:b/>
          <w:bCs/>
          <w:color w:val="333333"/>
          <w:kern w:val="0"/>
          <w:sz w:val="28"/>
          <w:szCs w:val="28"/>
          <w:shd w:val="clear" w:fill="FFFFFF"/>
          <w:lang w:val="en-US" w:eastAsia="zh-CN" w:bidi="ar"/>
        </w:rPr>
        <w:t>县</w:t>
      </w:r>
      <w:r>
        <w:rPr>
          <w:rFonts w:ascii="宋体" w:hAnsi="宋体" w:eastAsia="宋体" w:cs="宋体"/>
          <w:b/>
          <w:bCs/>
          <w:color w:val="333333"/>
          <w:kern w:val="0"/>
          <w:sz w:val="28"/>
          <w:szCs w:val="28"/>
          <w:shd w:val="clear" w:fill="FFFFFF"/>
          <w:lang w:val="en-US" w:eastAsia="zh-CN" w:bidi="ar"/>
        </w:rPr>
        <w:t xml:space="preserve"> 统 计 局</w:t>
      </w:r>
    </w:p>
    <w:p w14:paraId="3A81B3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0"/>
        <w:jc w:val="center"/>
        <w:rPr>
          <w:b/>
          <w:bCs/>
          <w:sz w:val="28"/>
          <w:szCs w:val="28"/>
        </w:rPr>
      </w:pPr>
      <w:r>
        <w:rPr>
          <w:rFonts w:ascii="宋体" w:hAnsi="宋体" w:eastAsia="宋体" w:cs="宋体"/>
          <w:b/>
          <w:bCs/>
          <w:color w:val="333333"/>
          <w:kern w:val="0"/>
          <w:sz w:val="28"/>
          <w:szCs w:val="28"/>
          <w:shd w:val="clear" w:fill="FFFFFF"/>
          <w:lang w:val="en-US" w:eastAsia="zh-CN" w:bidi="ar"/>
        </w:rPr>
        <w:t>国家统计局</w:t>
      </w:r>
      <w:r>
        <w:rPr>
          <w:rFonts w:hint="eastAsia" w:ascii="宋体" w:hAnsi="宋体" w:eastAsia="宋体" w:cs="宋体"/>
          <w:b/>
          <w:bCs/>
          <w:color w:val="333333"/>
          <w:kern w:val="0"/>
          <w:sz w:val="28"/>
          <w:szCs w:val="28"/>
          <w:shd w:val="clear" w:fill="FFFFFF"/>
          <w:lang w:val="en-US" w:eastAsia="zh-CN" w:bidi="ar"/>
        </w:rPr>
        <w:t>柳林</w:t>
      </w:r>
      <w:r>
        <w:rPr>
          <w:rFonts w:ascii="宋体" w:hAnsi="宋体" w:eastAsia="宋体" w:cs="宋体"/>
          <w:b/>
          <w:bCs/>
          <w:color w:val="333333"/>
          <w:kern w:val="0"/>
          <w:sz w:val="28"/>
          <w:szCs w:val="28"/>
          <w:shd w:val="clear" w:fill="FFFFFF"/>
          <w:lang w:val="en-US" w:eastAsia="zh-CN" w:bidi="ar"/>
        </w:rPr>
        <w:t>调查队</w:t>
      </w:r>
      <w:r>
        <w:rPr>
          <w:rFonts w:hint="eastAsia" w:ascii="微软雅黑" w:hAnsi="微软雅黑" w:eastAsia="微软雅黑" w:cs="微软雅黑"/>
          <w:b/>
          <w:bCs/>
          <w:color w:val="333333"/>
          <w:kern w:val="0"/>
          <w:sz w:val="28"/>
          <w:szCs w:val="28"/>
          <w:shd w:val="clear" w:fill="FFFFFF"/>
          <w:lang w:val="en-US" w:eastAsia="zh-CN" w:bidi="ar"/>
        </w:rPr>
        <w:t xml:space="preserve"> </w:t>
      </w:r>
    </w:p>
    <w:p w14:paraId="3B2BDC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0"/>
        <w:jc w:val="center"/>
        <w:rPr>
          <w:rFonts w:ascii="宋体" w:hAnsi="宋体" w:eastAsia="宋体" w:cs="宋体"/>
          <w:b/>
          <w:bCs/>
          <w:color w:val="333333"/>
          <w:kern w:val="0"/>
          <w:sz w:val="28"/>
          <w:szCs w:val="28"/>
          <w:shd w:val="clear" w:fill="FFFFFF"/>
          <w:lang w:val="en-US" w:eastAsia="zh-CN" w:bidi="ar"/>
        </w:rPr>
      </w:pPr>
      <w:r>
        <w:rPr>
          <w:rFonts w:ascii="宋体" w:hAnsi="宋体" w:eastAsia="宋体" w:cs="宋体"/>
          <w:b/>
          <w:bCs/>
          <w:color w:val="333333"/>
          <w:kern w:val="0"/>
          <w:sz w:val="28"/>
          <w:szCs w:val="28"/>
          <w:shd w:val="clear" w:fill="FFFFFF"/>
          <w:lang w:val="en-US" w:eastAsia="zh-CN" w:bidi="ar"/>
        </w:rPr>
        <w:t>2020年</w:t>
      </w:r>
      <w:r>
        <w:rPr>
          <w:rFonts w:hint="eastAsia" w:ascii="宋体" w:hAnsi="宋体" w:eastAsia="宋体" w:cs="宋体"/>
          <w:b/>
          <w:bCs/>
          <w:color w:val="333333"/>
          <w:kern w:val="0"/>
          <w:sz w:val="28"/>
          <w:szCs w:val="28"/>
          <w:shd w:val="clear" w:fill="FFFFFF"/>
          <w:lang w:val="en-US" w:eastAsia="zh-CN" w:bidi="ar"/>
        </w:rPr>
        <w:t>5</w:t>
      </w:r>
      <w:r>
        <w:rPr>
          <w:rFonts w:ascii="宋体" w:hAnsi="宋体" w:eastAsia="宋体" w:cs="宋体"/>
          <w:b/>
          <w:bCs/>
          <w:color w:val="333333"/>
          <w:kern w:val="0"/>
          <w:sz w:val="28"/>
          <w:szCs w:val="28"/>
          <w:shd w:val="clear" w:fill="FFFFFF"/>
          <w:lang w:val="en-US" w:eastAsia="zh-CN" w:bidi="ar"/>
        </w:rPr>
        <w:t>月</w:t>
      </w:r>
      <w:r>
        <w:rPr>
          <w:rFonts w:hint="eastAsia" w:ascii="宋体" w:hAnsi="宋体" w:eastAsia="宋体" w:cs="宋体"/>
          <w:b/>
          <w:bCs/>
          <w:color w:val="333333"/>
          <w:kern w:val="0"/>
          <w:sz w:val="28"/>
          <w:szCs w:val="28"/>
          <w:shd w:val="clear" w:fill="FFFFFF"/>
          <w:lang w:val="en-US" w:eastAsia="zh-CN" w:bidi="ar"/>
        </w:rPr>
        <w:t>25</w:t>
      </w:r>
      <w:r>
        <w:rPr>
          <w:rFonts w:ascii="宋体" w:hAnsi="宋体" w:eastAsia="宋体" w:cs="宋体"/>
          <w:b/>
          <w:bCs/>
          <w:color w:val="333333"/>
          <w:kern w:val="0"/>
          <w:sz w:val="28"/>
          <w:szCs w:val="28"/>
          <w:shd w:val="clear" w:fill="FFFFFF"/>
          <w:lang w:val="en-US" w:eastAsia="zh-CN" w:bidi="ar"/>
        </w:rPr>
        <w:t>日</w:t>
      </w:r>
    </w:p>
    <w:p w14:paraId="59FA5F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ascii="宋体" w:hAnsi="宋体" w:eastAsia="宋体" w:cs="宋体"/>
          <w:b/>
          <w:bCs/>
          <w:color w:val="333333"/>
          <w:kern w:val="0"/>
          <w:sz w:val="28"/>
          <w:szCs w:val="28"/>
          <w:shd w:val="clear" w:fill="FFFFFF"/>
          <w:lang w:val="en-US" w:eastAsia="zh-CN" w:bidi="ar"/>
        </w:rPr>
      </w:pPr>
    </w:p>
    <w:p w14:paraId="1C7D19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aps w:val="0"/>
          <w:color w:val="000000"/>
          <w:spacing w:val="0"/>
          <w:sz w:val="24"/>
          <w:szCs w:val="24"/>
          <w:shd w:val="clear" w:fill="FFFFFF"/>
        </w:rPr>
        <w:t>　2019年，是我县奋力实现“两转”、全面开拓新局之年。一年来，面对艰巨繁重的改革发展和稳定任务，县人民</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4"/>
          <w:szCs w:val="24"/>
          <w:shd w:val="clear" w:fill="FFFFFF"/>
        </w:rPr>
        <w:t>政府在县委的坚强领导下，在县人大、县政协的有效监督和大力支持下，紧紧围绕县委“党建统领，五转一新”战略布局，</w:t>
      </w:r>
      <w:r>
        <w:rPr>
          <w:rFonts w:hint="eastAsia" w:asciiTheme="minorEastAsia" w:hAnsiTheme="minorEastAsia" w:eastAsiaTheme="minorEastAsia" w:cstheme="minorEastAsia"/>
          <w:b w:val="0"/>
          <w:i w:val="0"/>
          <w:caps w:val="0"/>
          <w:color w:val="000000"/>
          <w:spacing w:val="0"/>
          <w:sz w:val="24"/>
          <w:szCs w:val="24"/>
          <w:shd w:val="clear" w:fill="FFFFFF"/>
          <w:lang w:eastAsia="zh-CN"/>
        </w:rPr>
        <w:t>大力培育改革创新、奋发有为的理念和行为，主动对标高质量发展要求，推动全县经济在由“疲”转“兴”基础上拓展发展新局面，主要经济指标增速在上年高基数年的基础上，保持稳定发展的势头，全县经济运行平稳。</w:t>
      </w:r>
    </w:p>
    <w:p w14:paraId="72B26E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color w:val="333333"/>
          <w:kern w:val="0"/>
          <w:sz w:val="24"/>
          <w:szCs w:val="24"/>
          <w:shd w:val="clear" w:fill="FFFFFF"/>
          <w:lang w:val="en-US" w:eastAsia="zh-CN" w:bidi="ar"/>
        </w:rPr>
        <w:t>一、综  合</w:t>
      </w:r>
    </w:p>
    <w:p w14:paraId="336822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39" w:leftChars="114" w:right="0" w:firstLine="480" w:firstLineChars="200"/>
        <w:jc w:val="both"/>
        <w:textAlignment w:val="auto"/>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据2019年人口抽样调查推算，年末全县常住人口为332535人，比上年末增加166人。全年全县出生人口2804人，人口出生率为 8.43‰；死亡人口 2355人，死亡率为 7.08‰；自然增长率为1.35‰,城镇化率为45.97％，比上年提高1.23％。</w:t>
      </w:r>
    </w:p>
    <w:p w14:paraId="519E6A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239" w:leftChars="114" w:right="0" w:firstLine="482" w:firstLineChars="200"/>
        <w:jc w:val="center"/>
        <w:textAlignment w:val="auto"/>
        <w:rPr>
          <w:rFonts w:hint="eastAsia" w:asciiTheme="minorEastAsia" w:hAnsiTheme="minorEastAsia" w:eastAsiaTheme="minorEastAsia" w:cstheme="minorEastAsia"/>
          <w:b/>
          <w:bCs/>
          <w:color w:val="333333"/>
          <w:kern w:val="0"/>
          <w:sz w:val="24"/>
          <w:szCs w:val="24"/>
          <w:shd w:val="clear" w:fill="FFFFFF"/>
          <w:lang w:val="en-US" w:eastAsia="zh-CN" w:bidi="ar"/>
        </w:rPr>
      </w:pPr>
      <w:r>
        <w:rPr>
          <w:rFonts w:hint="eastAsia" w:asciiTheme="minorEastAsia" w:hAnsiTheme="minorEastAsia" w:eastAsiaTheme="minorEastAsia" w:cstheme="minorEastAsia"/>
          <w:b/>
          <w:bCs/>
          <w:color w:val="333333"/>
          <w:kern w:val="0"/>
          <w:sz w:val="24"/>
          <w:szCs w:val="24"/>
          <w:shd w:val="clear" w:fill="FFFFFF"/>
          <w:lang w:val="en-US" w:eastAsia="zh-CN" w:bidi="ar"/>
        </w:rPr>
        <w:t>表1  2019年人口数据及其构成</w:t>
      </w:r>
    </w:p>
    <w:p w14:paraId="78FEB8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2" w:firstLineChars="200"/>
        <w:jc w:val="both"/>
        <w:textAlignment w:val="auto"/>
        <w:rPr>
          <w:rFonts w:hint="eastAsia" w:asciiTheme="minorEastAsia" w:hAnsiTheme="minorEastAsia" w:eastAsiaTheme="minorEastAsia" w:cstheme="minorEastAsia"/>
          <w:b/>
          <w:bCs/>
          <w:color w:val="333333"/>
          <w:kern w:val="0"/>
          <w:sz w:val="24"/>
          <w:szCs w:val="24"/>
          <w:shd w:val="clear" w:fill="FFFFFF"/>
          <w:lang w:val="en-US" w:eastAsia="zh-CN" w:bidi="ar"/>
        </w:rPr>
      </w:pPr>
      <w:r>
        <w:rPr>
          <w:rFonts w:hint="eastAsia" w:asciiTheme="minorEastAsia" w:hAnsiTheme="minorEastAsia" w:eastAsiaTheme="minorEastAsia" w:cstheme="minorEastAsia"/>
          <w:b/>
          <w:bCs/>
          <w:color w:val="333333"/>
          <w:kern w:val="0"/>
          <w:sz w:val="24"/>
          <w:szCs w:val="24"/>
          <w:shd w:val="clear" w:fill="FFFFFF"/>
          <w:lang w:val="en-US" w:eastAsia="zh-CN" w:bidi="ar"/>
        </w:rPr>
        <w:t>单位：人</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40"/>
        <w:gridCol w:w="2840"/>
      </w:tblGrid>
      <w:tr w14:paraId="5A5E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2839" w:type="dxa"/>
            <w:tcBorders>
              <w:top w:val="single" w:color="auto" w:sz="12" w:space="0"/>
              <w:left w:val="nil"/>
            </w:tcBorders>
            <w:shd w:val="clear" w:color="auto" w:fill="FFFFFF" w:themeFill="background1"/>
            <w:vAlign w:val="center"/>
          </w:tcPr>
          <w:p w14:paraId="715744D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2" w:firstLineChars="200"/>
              <w:jc w:val="center"/>
              <w:textAlignment w:val="auto"/>
              <w:rPr>
                <w:rFonts w:hint="eastAsia" w:asciiTheme="minorEastAsia" w:hAnsiTheme="minorEastAsia" w:eastAsiaTheme="minorEastAsia" w:cstheme="minorEastAsia"/>
                <w:b/>
                <w:bCs/>
                <w:i w:val="0"/>
                <w:iCs w:val="0"/>
                <w:color w:val="000000" w:themeColor="text1"/>
                <w:kern w:val="0"/>
                <w:sz w:val="24"/>
                <w:szCs w:val="24"/>
                <w:shd w:val="clear" w:fill="FFFFFF"/>
                <w:vertAlign w:val="baseli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shd w:val="clear" w:fill="FFFFFF"/>
                <w:vertAlign w:val="baseline"/>
                <w:lang w:val="en-US" w:eastAsia="zh-CN" w:bidi="ar"/>
                <w14:textFill>
                  <w14:solidFill>
                    <w14:schemeClr w14:val="tx1"/>
                  </w14:solidFill>
                </w14:textFill>
              </w:rPr>
              <w:t>指   标</w:t>
            </w:r>
          </w:p>
        </w:tc>
        <w:tc>
          <w:tcPr>
            <w:tcW w:w="2840" w:type="dxa"/>
            <w:tcBorders>
              <w:top w:val="single" w:color="auto" w:sz="12" w:space="0"/>
            </w:tcBorders>
            <w:shd w:val="clear" w:color="auto" w:fill="FFFFFF" w:themeFill="background1"/>
            <w:vAlign w:val="center"/>
          </w:tcPr>
          <w:p w14:paraId="19E4E11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2" w:firstLineChars="200"/>
              <w:jc w:val="center"/>
              <w:textAlignment w:val="auto"/>
              <w:rPr>
                <w:rFonts w:hint="eastAsia" w:asciiTheme="minorEastAsia" w:hAnsiTheme="minorEastAsia" w:eastAsiaTheme="minorEastAsia" w:cstheme="minorEastAsia"/>
                <w:b/>
                <w:bCs/>
                <w:i w:val="0"/>
                <w:iCs w:val="0"/>
                <w:color w:val="000000" w:themeColor="text1"/>
                <w:kern w:val="0"/>
                <w:sz w:val="24"/>
                <w:szCs w:val="24"/>
                <w:shd w:val="clear" w:fill="FFFFFF"/>
                <w:vertAlign w:val="baseli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shd w:val="clear" w:fill="FFFFFF"/>
                <w:vertAlign w:val="baseline"/>
                <w:lang w:val="en-US" w:eastAsia="zh-CN" w:bidi="ar"/>
                <w14:textFill>
                  <w14:solidFill>
                    <w14:schemeClr w14:val="tx1"/>
                  </w14:solidFill>
                </w14:textFill>
              </w:rPr>
              <w:t>年末数</w:t>
            </w:r>
          </w:p>
        </w:tc>
        <w:tc>
          <w:tcPr>
            <w:tcW w:w="2840" w:type="dxa"/>
            <w:tcBorders>
              <w:top w:val="single" w:color="auto" w:sz="12" w:space="0"/>
              <w:right w:val="nil"/>
            </w:tcBorders>
            <w:shd w:val="clear" w:color="auto" w:fill="FFFFFF" w:themeFill="background1"/>
            <w:vAlign w:val="center"/>
          </w:tcPr>
          <w:p w14:paraId="6EABC81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2" w:firstLineChars="200"/>
              <w:jc w:val="center"/>
              <w:textAlignment w:val="auto"/>
              <w:rPr>
                <w:rFonts w:hint="eastAsia" w:asciiTheme="minorEastAsia" w:hAnsiTheme="minorEastAsia" w:eastAsiaTheme="minorEastAsia" w:cstheme="minorEastAsia"/>
                <w:b/>
                <w:bCs/>
                <w:i w:val="0"/>
                <w:iCs w:val="0"/>
                <w:color w:val="000000" w:themeColor="text1"/>
                <w:kern w:val="0"/>
                <w:sz w:val="24"/>
                <w:szCs w:val="24"/>
                <w:shd w:val="clear" w:fill="FFFFFF"/>
                <w:vertAlign w:val="baseli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shd w:val="clear" w:fill="FFFFFF"/>
                <w:vertAlign w:val="baseline"/>
                <w:lang w:val="en-US" w:eastAsia="zh-CN" w:bidi="ar"/>
                <w14:textFill>
                  <w14:solidFill>
                    <w14:schemeClr w14:val="tx1"/>
                  </w14:solidFill>
                </w14:textFill>
              </w:rPr>
              <w:t>比重（%）</w:t>
            </w:r>
          </w:p>
        </w:tc>
      </w:tr>
      <w:tr w14:paraId="2EA8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tcBorders>
              <w:left w:val="nil"/>
              <w:bottom w:val="nil"/>
            </w:tcBorders>
            <w:shd w:val="clear" w:color="auto" w:fill="FFFFFF" w:themeFill="background1"/>
            <w:vAlign w:val="center"/>
          </w:tcPr>
          <w:p w14:paraId="27957F1F">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color="auto" w:fill="FFFFFF"/>
                <w:lang w:bidi="ar"/>
              </w:rPr>
              <w:t>全县常住人口</w:t>
            </w:r>
          </w:p>
        </w:tc>
        <w:tc>
          <w:tcPr>
            <w:tcW w:w="2840" w:type="dxa"/>
            <w:tcBorders>
              <w:bottom w:val="nil"/>
            </w:tcBorders>
            <w:shd w:val="clear" w:color="auto" w:fill="FFFFFF" w:themeFill="background1"/>
            <w:vAlign w:val="center"/>
          </w:tcPr>
          <w:p w14:paraId="027047E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332535</w:t>
            </w:r>
          </w:p>
        </w:tc>
        <w:tc>
          <w:tcPr>
            <w:tcW w:w="2840" w:type="dxa"/>
            <w:tcBorders>
              <w:bottom w:val="nil"/>
              <w:right w:val="nil"/>
            </w:tcBorders>
            <w:shd w:val="clear" w:color="auto" w:fill="FFFFFF" w:themeFill="background1"/>
            <w:vAlign w:val="center"/>
          </w:tcPr>
          <w:p w14:paraId="05BF583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100</w:t>
            </w:r>
          </w:p>
        </w:tc>
      </w:tr>
      <w:tr w14:paraId="5A20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tcBorders>
              <w:top w:val="nil"/>
              <w:left w:val="nil"/>
              <w:bottom w:val="nil"/>
            </w:tcBorders>
            <w:shd w:val="clear" w:color="auto" w:fill="FFFFFF" w:themeFill="background1"/>
            <w:vAlign w:val="center"/>
          </w:tcPr>
          <w:p w14:paraId="35744053">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color="auto" w:fill="FFFFFF"/>
                <w:lang w:bidi="ar"/>
              </w:rPr>
              <w:t>其中：城 镇</w:t>
            </w:r>
          </w:p>
        </w:tc>
        <w:tc>
          <w:tcPr>
            <w:tcW w:w="2840" w:type="dxa"/>
            <w:tcBorders>
              <w:top w:val="nil"/>
              <w:bottom w:val="nil"/>
            </w:tcBorders>
            <w:shd w:val="clear" w:color="auto" w:fill="FFFFFF" w:themeFill="background1"/>
            <w:vAlign w:val="center"/>
          </w:tcPr>
          <w:p w14:paraId="2006626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152861</w:t>
            </w:r>
          </w:p>
        </w:tc>
        <w:tc>
          <w:tcPr>
            <w:tcW w:w="2840" w:type="dxa"/>
            <w:tcBorders>
              <w:top w:val="nil"/>
              <w:bottom w:val="nil"/>
              <w:right w:val="nil"/>
            </w:tcBorders>
            <w:shd w:val="clear" w:color="auto" w:fill="FFFFFF" w:themeFill="background1"/>
            <w:vAlign w:val="center"/>
          </w:tcPr>
          <w:p w14:paraId="782FAEE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45.97</w:t>
            </w:r>
          </w:p>
        </w:tc>
      </w:tr>
      <w:tr w14:paraId="6B9A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tcBorders>
              <w:top w:val="nil"/>
              <w:left w:val="nil"/>
              <w:bottom w:val="nil"/>
            </w:tcBorders>
            <w:shd w:val="clear" w:color="auto" w:fill="FFFFFF" w:themeFill="background1"/>
            <w:vAlign w:val="center"/>
          </w:tcPr>
          <w:p w14:paraId="2B37D23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乡 村</w:t>
            </w:r>
          </w:p>
        </w:tc>
        <w:tc>
          <w:tcPr>
            <w:tcW w:w="2840" w:type="dxa"/>
            <w:tcBorders>
              <w:top w:val="nil"/>
              <w:bottom w:val="nil"/>
            </w:tcBorders>
            <w:shd w:val="clear" w:color="auto" w:fill="FFFFFF" w:themeFill="background1"/>
            <w:vAlign w:val="center"/>
          </w:tcPr>
          <w:p w14:paraId="3DF72BA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179674</w:t>
            </w:r>
          </w:p>
        </w:tc>
        <w:tc>
          <w:tcPr>
            <w:tcW w:w="2840" w:type="dxa"/>
            <w:tcBorders>
              <w:top w:val="nil"/>
              <w:bottom w:val="nil"/>
              <w:right w:val="nil"/>
            </w:tcBorders>
            <w:shd w:val="clear" w:color="auto" w:fill="FFFFFF" w:themeFill="background1"/>
            <w:vAlign w:val="center"/>
          </w:tcPr>
          <w:p w14:paraId="477E327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54.03</w:t>
            </w:r>
          </w:p>
        </w:tc>
      </w:tr>
      <w:tr w14:paraId="30D0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tcBorders>
              <w:top w:val="nil"/>
              <w:left w:val="nil"/>
              <w:bottom w:val="nil"/>
            </w:tcBorders>
            <w:shd w:val="clear" w:color="auto" w:fill="FFFFFF" w:themeFill="background1"/>
            <w:vAlign w:val="center"/>
          </w:tcPr>
          <w:p w14:paraId="19480CFE">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color="auto" w:fill="FFFFFF"/>
                <w:lang w:bidi="ar"/>
              </w:rPr>
              <w:t>其中：男 性</w:t>
            </w:r>
          </w:p>
        </w:tc>
        <w:tc>
          <w:tcPr>
            <w:tcW w:w="2840" w:type="dxa"/>
            <w:tcBorders>
              <w:top w:val="nil"/>
              <w:bottom w:val="nil"/>
            </w:tcBorders>
            <w:shd w:val="clear" w:color="auto" w:fill="FFFFFF" w:themeFill="background1"/>
            <w:vAlign w:val="center"/>
          </w:tcPr>
          <w:p w14:paraId="5D9B322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179513</w:t>
            </w:r>
          </w:p>
        </w:tc>
        <w:tc>
          <w:tcPr>
            <w:tcW w:w="2840" w:type="dxa"/>
            <w:tcBorders>
              <w:top w:val="nil"/>
              <w:bottom w:val="nil"/>
              <w:right w:val="nil"/>
            </w:tcBorders>
            <w:shd w:val="clear" w:color="auto" w:fill="FFFFFF" w:themeFill="background1"/>
            <w:vAlign w:val="center"/>
          </w:tcPr>
          <w:p w14:paraId="446A406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53.98</w:t>
            </w:r>
          </w:p>
        </w:tc>
      </w:tr>
      <w:tr w14:paraId="4CB9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tcBorders>
              <w:top w:val="nil"/>
              <w:left w:val="nil"/>
              <w:bottom w:val="single" w:color="auto" w:sz="12" w:space="0"/>
            </w:tcBorders>
            <w:shd w:val="clear" w:color="auto" w:fill="FFFFFF" w:themeFill="background1"/>
            <w:vAlign w:val="center"/>
          </w:tcPr>
          <w:p w14:paraId="3593B02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女 性</w:t>
            </w:r>
          </w:p>
        </w:tc>
        <w:tc>
          <w:tcPr>
            <w:tcW w:w="2840" w:type="dxa"/>
            <w:tcBorders>
              <w:top w:val="nil"/>
              <w:bottom w:val="single" w:color="auto" w:sz="12" w:space="0"/>
            </w:tcBorders>
            <w:shd w:val="clear" w:color="auto" w:fill="FFFFFF" w:themeFill="background1"/>
            <w:vAlign w:val="center"/>
          </w:tcPr>
          <w:p w14:paraId="1189F55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153022</w:t>
            </w:r>
          </w:p>
        </w:tc>
        <w:tc>
          <w:tcPr>
            <w:tcW w:w="2840" w:type="dxa"/>
            <w:tcBorders>
              <w:top w:val="nil"/>
              <w:bottom w:val="single" w:color="auto" w:sz="12" w:space="0"/>
              <w:right w:val="nil"/>
            </w:tcBorders>
            <w:shd w:val="clear" w:color="auto" w:fill="FFFFFF" w:themeFill="background1"/>
            <w:vAlign w:val="center"/>
          </w:tcPr>
          <w:p w14:paraId="35F66CC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color w:val="333333"/>
                <w:kern w:val="0"/>
                <w:sz w:val="24"/>
                <w:szCs w:val="24"/>
                <w:shd w:val="clear" w:fill="FFFFFF"/>
                <w:vertAlign w:val="baseline"/>
                <w:lang w:val="en-US" w:eastAsia="zh-CN" w:bidi="ar"/>
              </w:rPr>
            </w:pPr>
            <w:r>
              <w:rPr>
                <w:rFonts w:hint="eastAsia" w:asciiTheme="minorEastAsia" w:hAnsiTheme="minorEastAsia" w:eastAsiaTheme="minorEastAsia" w:cstheme="minorEastAsia"/>
                <w:color w:val="333333"/>
                <w:kern w:val="0"/>
                <w:sz w:val="24"/>
                <w:szCs w:val="24"/>
                <w:shd w:val="clear" w:fill="FFFFFF"/>
                <w:vertAlign w:val="baseline"/>
                <w:lang w:val="en-US" w:eastAsia="zh-CN" w:bidi="ar"/>
              </w:rPr>
              <w:t>46.02</w:t>
            </w:r>
          </w:p>
        </w:tc>
      </w:tr>
    </w:tbl>
    <w:p w14:paraId="661495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初步核算，全年全县实现地区生产总值204.6亿元，按不变价格计算，同比增长-4.2 %。其中，第一产业增加值3.7亿元，同比增长6.5 %，占地区生产总值的比重为1.8%；第二产业增加值 143.1亿元，同比增长-8.1 %，占地区生产总值的比重为69.9%；第三产业增加值 57.8亿元，同比增长3.0%，占地区生产总值的比重为28.3%。 </w:t>
      </w:r>
    </w:p>
    <w:p w14:paraId="613D8C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人均地区生产总值61543元，按2019年平均汇率计算为8709美元。</w:t>
      </w:r>
    </w:p>
    <w:p w14:paraId="4E1732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color w:val="333333"/>
          <w:kern w:val="0"/>
          <w:sz w:val="24"/>
          <w:szCs w:val="24"/>
          <w:shd w:val="clear" w:fill="FFFFFF"/>
          <w:lang w:val="en-US" w:eastAsia="zh-CN" w:bidi="ar"/>
        </w:rPr>
      </w:pPr>
      <w:r>
        <w:rPr>
          <w:rFonts w:hint="eastAsia" w:asciiTheme="minorEastAsia" w:hAnsiTheme="minorEastAsia" w:eastAsiaTheme="minorEastAsia" w:cstheme="minorEastAsia"/>
          <w:b/>
          <w:bCs/>
          <w:color w:val="333333"/>
          <w:kern w:val="0"/>
          <w:sz w:val="24"/>
          <w:szCs w:val="24"/>
          <w:shd w:val="clear" w:fill="FFFFFF"/>
          <w:lang w:val="en-US" w:eastAsia="zh-CN" w:bidi="ar"/>
        </w:rPr>
        <w:t>图1   2015-2019年地区生产总值及其增长速度</w:t>
      </w:r>
    </w:p>
    <w:p w14:paraId="6D0E52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4384" behindDoc="0" locked="0" layoutInCell="1" allowOverlap="1">
                <wp:simplePos x="0" y="0"/>
                <wp:positionH relativeFrom="column">
                  <wp:posOffset>4925060</wp:posOffset>
                </wp:positionH>
                <wp:positionV relativeFrom="paragraph">
                  <wp:posOffset>116205</wp:posOffset>
                </wp:positionV>
                <wp:extent cx="325120" cy="243205"/>
                <wp:effectExtent l="0" t="0" r="0" b="0"/>
                <wp:wrapNone/>
                <wp:docPr id="2" name="文本框 1"/>
                <wp:cNvGraphicFramePr/>
                <a:graphic xmlns:a="http://schemas.openxmlformats.org/drawingml/2006/main">
                  <a:graphicData uri="http://schemas.microsoft.com/office/word/2010/wordprocessingShape">
                    <wps:wsp>
                      <wps:cNvSpPr/>
                      <wps:spPr>
                        <a:xfrm>
                          <a:off x="0" y="0"/>
                          <a:ext cx="325120" cy="243205"/>
                        </a:xfrm>
                        <a:prstGeom prst="rect">
                          <a:avLst/>
                        </a:prstGeom>
                        <a:ln>
                          <a:noFill/>
                        </a:ln>
                      </wps:spPr>
                      <wps:txbx>
                        <w:txbxContent>
                          <w:p w14:paraId="1DF5A4EC">
                            <w:pPr>
                              <w:pStyle w:val="5"/>
                              <w:kinsoku/>
                              <w:ind w:left="0"/>
                              <w:jc w:val="left"/>
                            </w:pPr>
                            <w:r>
                              <w:rPr>
                                <w:rFonts w:asciiTheme="minorAscii" w:hAnsiTheme="minorBidi" w:eastAsiaTheme="minorEastAsia"/>
                                <w:kern w:val="24"/>
                                <w:sz w:val="24"/>
                                <w:szCs w:val="24"/>
                              </w:rPr>
                              <w:t>%</w:t>
                            </w:r>
                          </w:p>
                        </w:txbxContent>
                      </wps:txbx>
                      <wps:bodyPr vertOverflow="clip" horzOverflow="clip" wrap="square" rtlCol="0" anchor="t"/>
                    </wps:wsp>
                  </a:graphicData>
                </a:graphic>
              </wp:anchor>
            </w:drawing>
          </mc:Choice>
          <mc:Fallback>
            <w:pict>
              <v:rect id="文本框 1" o:spid="_x0000_s1026" o:spt="1" style="position:absolute;left:0pt;margin-left:387.8pt;margin-top:9.15pt;height:19.15pt;width:25.6pt;z-index:251664384;mso-width-relative:page;mso-height-relative:page;" filled="f" stroked="f" coordsize="21600,21600" o:gfxdata="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94fdNkAAAAJAQAADwAAAAAAAAABACAAAAAiAAAAZHJzL2Rvd25y&#10;ZXYueG1sUEsBAhQAFAAAAAgAh07iQP3ct5XEAQAAeAMAAA4AAAAAAAAAAQAgAAAAKAEAAGRycy9l&#10;Mm9Eb2MueG1sUEsFBgAAAAAGAAYAWQEAAF4FAAAAAA==&#10;">
                <v:fill on="f" focussize="0,0"/>
                <v:stroke on="f"/>
                <v:imagedata o:title=""/>
                <o:lock v:ext="edit" aspectratio="f"/>
                <v:textbox>
                  <w:txbxContent>
                    <w:p w14:paraId="1DF5A4EC">
                      <w:pPr>
                        <w:pStyle w:val="5"/>
                        <w:kinsoku/>
                        <w:ind w:left="0"/>
                        <w:jc w:val="left"/>
                      </w:pPr>
                      <w:r>
                        <w:rPr>
                          <w:rFonts w:asciiTheme="minorAscii" w:hAnsiTheme="minorBidi" w:eastAsiaTheme="minorEastAsia"/>
                          <w:kern w:val="24"/>
                          <w:sz w:val="24"/>
                          <w:szCs w:val="24"/>
                        </w:rPr>
                        <w:t>%</w:t>
                      </w:r>
                    </w:p>
                  </w:txbxContent>
                </v:textbox>
              </v:rect>
            </w:pict>
          </mc:Fallback>
        </mc:AlternateContent>
      </w:r>
      <w:r>
        <w:rPr>
          <w:rFonts w:hint="eastAsia" w:asciiTheme="minorEastAsia" w:hAnsiTheme="minorEastAsia" w:eastAsiaTheme="minorEastAsia" w:cstheme="minorEastAsia"/>
          <w:sz w:val="24"/>
          <w:szCs w:val="24"/>
        </w:rPr>
        <w:drawing>
          <wp:inline distT="0" distB="0" distL="114300" distR="114300">
            <wp:extent cx="5245100" cy="2943860"/>
            <wp:effectExtent l="4445" t="4445" r="8255" b="23495"/>
            <wp:docPr id="3934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65E1A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全年全县一般公共预算收入28.8亿元，同比增长-5.7%。税收收入20.7亿元，同比增长-15.9 %；非税收入8.0亿元，同比增长36.9 %。分税种看，主体税种增值税9.4亿元，同比增长-25.6%；企业所得税3.5亿元，同比增长-16.6%；资源税3.5亿元，同比增长-8.1%。 </w:t>
      </w:r>
    </w:p>
    <w:p w14:paraId="7BF66B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全年全县一般公共预算支出39.8亿元，同比增长-7.4%。财政民生支出29.5亿元，同比增长0.3 %，占一般公共预算支出比重达74 %。其中，教育支出7.9亿元，同比下降23.8%；文化体育和传媒支出0.8亿元，同比增长9.8%；社会保障和就业支出4.1亿元，同比增长 3.7％；医疗卫生支出2.1亿元，同比增长-14.3%；节能环保支出2.1亿元，同比增长-11.1%；住房保障支出0.4 亿元，同比增长-71.1%。</w:t>
      </w:r>
    </w:p>
    <w:p w14:paraId="5C1C73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color w:val="333333"/>
          <w:kern w:val="0"/>
          <w:sz w:val="24"/>
          <w:szCs w:val="24"/>
          <w:shd w:val="clear" w:fill="FFFFFF"/>
          <w:lang w:val="en-US" w:eastAsia="zh-CN" w:bidi="ar"/>
        </w:rPr>
      </w:pPr>
      <w:r>
        <w:rPr>
          <w:rFonts w:hint="eastAsia" w:asciiTheme="minorEastAsia" w:hAnsiTheme="minorEastAsia" w:eastAsiaTheme="minorEastAsia" w:cstheme="minorEastAsia"/>
          <w:b/>
          <w:bCs/>
          <w:color w:val="333333"/>
          <w:kern w:val="0"/>
          <w:sz w:val="24"/>
          <w:szCs w:val="24"/>
          <w:shd w:val="clear" w:fill="FFFFFF"/>
          <w:lang w:val="en-US" w:eastAsia="zh-CN" w:bidi="ar"/>
        </w:rPr>
        <w:t>图2   2015-2019年一般公共预算收入及其增长速度</w:t>
      </w:r>
    </w:p>
    <w:p w14:paraId="3CCC4F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4945380</wp:posOffset>
                </wp:positionH>
                <wp:positionV relativeFrom="paragraph">
                  <wp:posOffset>192405</wp:posOffset>
                </wp:positionV>
                <wp:extent cx="325120" cy="243205"/>
                <wp:effectExtent l="0" t="0" r="0" b="0"/>
                <wp:wrapNone/>
                <wp:docPr id="49" name="文本框 1"/>
                <wp:cNvGraphicFramePr/>
                <a:graphic xmlns:a="http://schemas.openxmlformats.org/drawingml/2006/main">
                  <a:graphicData uri="http://schemas.microsoft.com/office/word/2010/wordprocessingShape">
                    <wps:wsp>
                      <wps:cNvSpPr/>
                      <wps:spPr>
                        <a:xfrm>
                          <a:off x="0" y="0"/>
                          <a:ext cx="325120" cy="243205"/>
                        </a:xfrm>
                        <a:prstGeom prst="rect">
                          <a:avLst/>
                        </a:prstGeom>
                        <a:ln>
                          <a:noFill/>
                        </a:ln>
                      </wps:spPr>
                      <wps:txbx>
                        <w:txbxContent>
                          <w:p w14:paraId="30E99419">
                            <w:pPr>
                              <w:pStyle w:val="5"/>
                              <w:kinsoku/>
                              <w:ind w:left="0"/>
                              <w:jc w:val="left"/>
                            </w:pPr>
                            <w:r>
                              <w:rPr>
                                <w:rFonts w:asciiTheme="minorAscii" w:hAnsiTheme="minorBidi" w:eastAsiaTheme="minorEastAsia"/>
                                <w:kern w:val="24"/>
                                <w:sz w:val="24"/>
                                <w:szCs w:val="24"/>
                              </w:rPr>
                              <w:t>%</w:t>
                            </w:r>
                          </w:p>
                        </w:txbxContent>
                      </wps:txbx>
                      <wps:bodyPr vertOverflow="clip" horzOverflow="clip" wrap="square" rtlCol="0" anchor="t"/>
                    </wps:wsp>
                  </a:graphicData>
                </a:graphic>
              </wp:anchor>
            </w:drawing>
          </mc:Choice>
          <mc:Fallback>
            <w:pict>
              <v:rect id="文本框 1" o:spid="_x0000_s1026" o:spt="1" style="position:absolute;left:0pt;margin-left:389.4pt;margin-top:15.15pt;height:19.15pt;width:25.6pt;z-index:251660288;mso-width-relative:page;mso-height-relative:page;" filled="f" stroked="f" coordsize="21600,21600" o:gfxdata="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HAfYTZAAAACQEAAA8AAAAAAAAAAQAgAAAAIgAAAGRycy9kb3du&#10;cmV2LnhtbFBLAQIUABQAAAAIAIdO4kC+IuxzxQEAAHkDAAAOAAAAAAAAAAEAIAAAACgBAABkcnMv&#10;ZTJvRG9jLnhtbFBLBQYAAAAABgAGAFkBAABfBQAAAAA=&#10;">
                <v:fill on="f" focussize="0,0"/>
                <v:stroke on="f"/>
                <v:imagedata o:title=""/>
                <o:lock v:ext="edit" aspectratio="f"/>
                <v:textbox>
                  <w:txbxContent>
                    <w:p w14:paraId="30E99419">
                      <w:pPr>
                        <w:pStyle w:val="5"/>
                        <w:kinsoku/>
                        <w:ind w:left="0"/>
                        <w:jc w:val="left"/>
                      </w:pPr>
                      <w:r>
                        <w:rPr>
                          <w:rFonts w:asciiTheme="minorAscii" w:hAnsiTheme="minorBidi" w:eastAsiaTheme="minorEastAsia"/>
                          <w:kern w:val="24"/>
                          <w:sz w:val="24"/>
                          <w:szCs w:val="24"/>
                        </w:rPr>
                        <w:t>%</w:t>
                      </w:r>
                    </w:p>
                  </w:txbxContent>
                </v:textbox>
              </v:rect>
            </w:pict>
          </mc:Fallback>
        </mc:AlternateContent>
      </w:r>
      <w:r>
        <w:rPr>
          <w:rFonts w:hint="eastAsia" w:asciiTheme="minorEastAsia" w:hAnsiTheme="minorEastAsia" w:eastAsiaTheme="minorEastAsia" w:cstheme="minorEastAsia"/>
          <w:sz w:val="24"/>
          <w:szCs w:val="24"/>
        </w:rPr>
        <w:drawing>
          <wp:inline distT="0" distB="0" distL="114300" distR="114300">
            <wp:extent cx="5269865" cy="2722245"/>
            <wp:effectExtent l="4445" t="4445" r="21590" b="16510"/>
            <wp:docPr id="5553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38B91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333333"/>
          <w:sz w:val="24"/>
          <w:szCs w:val="24"/>
          <w:shd w:val="clear" w:fill="FFFFFF"/>
        </w:rPr>
      </w:pPr>
      <w:r>
        <w:rPr>
          <w:rFonts w:hint="eastAsia" w:asciiTheme="minorEastAsia" w:hAnsiTheme="minorEastAsia" w:eastAsiaTheme="minorEastAsia" w:cstheme="minorEastAsia"/>
          <w:color w:val="333333"/>
          <w:sz w:val="24"/>
          <w:szCs w:val="24"/>
          <w:shd w:val="clear" w:fill="FFFFFF"/>
        </w:rPr>
        <w:t>全市居民消费价格比上年上涨3.2%，其中，食品价格上涨8.2%。商品零售价格上涨1.6%。工业生产者出厂价格下降0.3%，其中,生产资料价格下降0.3%，生活资料价格持平。工业生产者购进价格上涨1.1%。农业生产资料价格上涨4.7%。</w:t>
      </w:r>
    </w:p>
    <w:p w14:paraId="302A33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color w:val="333333"/>
          <w:sz w:val="24"/>
          <w:szCs w:val="24"/>
          <w:shd w:val="clear" w:fill="FFFFFF"/>
        </w:rPr>
      </w:pPr>
      <w:r>
        <w:rPr>
          <w:rFonts w:hint="eastAsia" w:asciiTheme="minorEastAsia" w:hAnsiTheme="minorEastAsia" w:eastAsiaTheme="minorEastAsia" w:cstheme="minorEastAsia"/>
          <w:b/>
          <w:bCs/>
          <w:sz w:val="24"/>
          <w:szCs w:val="24"/>
        </w:rPr>
        <w:t>图3   2015-2019年价格比上年涨跌幅度</w:t>
      </w:r>
    </w:p>
    <w:p w14:paraId="5623D6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437515</wp:posOffset>
                </wp:positionH>
                <wp:positionV relativeFrom="paragraph">
                  <wp:posOffset>211455</wp:posOffset>
                </wp:positionV>
                <wp:extent cx="224790" cy="301625"/>
                <wp:effectExtent l="0" t="0" r="0" b="0"/>
                <wp:wrapNone/>
                <wp:docPr id="19" name="文本框 4"/>
                <wp:cNvGraphicFramePr/>
                <a:graphic xmlns:a="http://schemas.openxmlformats.org/drawingml/2006/main">
                  <a:graphicData uri="http://schemas.microsoft.com/office/word/2010/wordprocessingShape">
                    <wps:wsp>
                      <wps:cNvSpPr txBox="1"/>
                      <wps:spPr>
                        <a:xfrm>
                          <a:off x="0" y="0"/>
                          <a:ext cx="225226" cy="302213"/>
                        </a:xfrm>
                        <a:prstGeom prst="rect">
                          <a:avLst/>
                        </a:prstGeom>
                      </wps:spPr>
                      <wps:style>
                        <a:lnRef idx="0">
                          <a:scrgbClr r="0" g="0" b="0"/>
                        </a:lnRef>
                        <a:fillRef idx="0">
                          <a:scrgbClr r="0" g="0" b="0"/>
                        </a:fillRef>
                        <a:effectRef idx="0">
                          <a:scrgbClr r="0" g="0" b="0"/>
                        </a:effectRef>
                        <a:fontRef idx="minor">
                          <a:schemeClr val="tx1"/>
                        </a:fontRef>
                      </wps:style>
                      <wps:txbx>
                        <w:txbxContent>
                          <w:p w14:paraId="6CE465C1">
                            <w:pPr>
                              <w:pStyle w:val="5"/>
                              <w:kinsoku/>
                              <w:ind w:left="0"/>
                              <w:jc w:val="left"/>
                            </w:pPr>
                            <w:r>
                              <w:rPr>
                                <w:rFonts w:asciiTheme="minorAscii" w:hAnsiTheme="minorBidi" w:eastAsiaTheme="minorEastAsia"/>
                                <w:color w:val="000000" w:themeColor="text1"/>
                                <w:kern w:val="24"/>
                                <w:sz w:val="22"/>
                                <w:szCs w:val="22"/>
                                <w14:textFill>
                                  <w14:solidFill>
                                    <w14:schemeClr w14:val="tx1"/>
                                  </w14:solidFill>
                                </w14:textFill>
                              </w:rPr>
                              <w:t>%</w:t>
                            </w:r>
                          </w:p>
                        </w:txbxContent>
                      </wps:txbx>
                      <wps:bodyPr vertOverflow="clip" horzOverflow="clip" wrap="square" rtlCol="0" anchor="t">
                        <a:spAutoFit/>
                      </wps:bodyPr>
                    </wps:wsp>
                  </a:graphicData>
                </a:graphic>
              </wp:anchor>
            </w:drawing>
          </mc:Choice>
          <mc:Fallback>
            <w:pict>
              <v:shape id="文本框 4" o:spid="_x0000_s1026" o:spt="202" type="#_x0000_t202" style="position:absolute;left:0pt;margin-left:34.45pt;margin-top:16.65pt;height:23.75pt;width:17.7pt;z-index:251662336;mso-width-relative:page;mso-height-relative:page;" filled="f" stroked="f" coordsize="21600,21600" o:gfxdata="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2tkbrVAAAACAEAAA8AAAAAAAAAAQAgAAAAIgAA&#10;AGRycy9kb3ducmV2LnhtbFBLAQIUABQAAAAIAIdO4kBsQ1XU0gEAAJcDAAAOAAAAAAAAAAEAIAAA&#10;ACQBAABkcnMvZTJvRG9jLnhtbFBLBQYAAAAABgAGAFkBAABoBQAAAAA=&#10;">
                <v:fill on="f" focussize="0,0"/>
                <v:stroke on="f"/>
                <v:imagedata o:title=""/>
                <o:lock v:ext="edit" aspectratio="f"/>
                <v:textbox style="mso-fit-shape-to-text:t;">
                  <w:txbxContent>
                    <w:p w14:paraId="6CE465C1">
                      <w:pPr>
                        <w:pStyle w:val="5"/>
                        <w:kinsoku/>
                        <w:ind w:left="0"/>
                        <w:jc w:val="left"/>
                      </w:pPr>
                      <w:r>
                        <w:rPr>
                          <w:rFonts w:asciiTheme="minorAscii" w:hAnsiTheme="minorBidi" w:eastAsiaTheme="minorEastAsia"/>
                          <w:color w:val="000000" w:themeColor="text1"/>
                          <w:kern w:val="24"/>
                          <w:sz w:val="22"/>
                          <w:szCs w:val="22"/>
                          <w14:textFill>
                            <w14:solidFill>
                              <w14:schemeClr w14:val="tx1"/>
                            </w14:solidFill>
                          </w14:textFill>
                        </w:rPr>
                        <w:t>%</w:t>
                      </w:r>
                    </w:p>
                  </w:txbxContent>
                </v:textbox>
              </v:shape>
            </w:pict>
          </mc:Fallback>
        </mc:AlternateContent>
      </w:r>
      <w:r>
        <w:rPr>
          <w:rFonts w:hint="eastAsia" w:asciiTheme="minorEastAsia" w:hAnsiTheme="minorEastAsia" w:eastAsiaTheme="minorEastAsia" w:cstheme="minorEastAsia"/>
          <w:sz w:val="24"/>
          <w:szCs w:val="24"/>
        </w:rPr>
        <w:drawing>
          <wp:inline distT="0" distB="0" distL="114300" distR="114300">
            <wp:extent cx="5241925" cy="2931795"/>
            <wp:effectExtent l="4445" t="4445" r="11430" b="16510"/>
            <wp:docPr id="5758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A7ACB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表2   2019年居民消费价格比上年涨幅</w:t>
      </w:r>
    </w:p>
    <w:tbl>
      <w:tblPr>
        <w:tblStyle w:val="7"/>
        <w:tblpPr w:leftFromText="180" w:rightFromText="180" w:vertAnchor="text" w:horzAnchor="page" w:tblpX="1848" w:tblpY="115"/>
        <w:tblOverlap w:val="never"/>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1"/>
        <w:gridCol w:w="3938"/>
      </w:tblGrid>
      <w:tr w14:paraId="7054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381" w:type="dxa"/>
            <w:tcBorders>
              <w:top w:val="single" w:color="auto" w:sz="12" w:space="0"/>
              <w:left w:val="nil"/>
            </w:tcBorders>
            <w:shd w:val="clear" w:color="auto" w:fill="FFFFFF" w:themeFill="background1"/>
            <w:vAlign w:val="center"/>
          </w:tcPr>
          <w:p w14:paraId="54FD37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2" w:firstLineChars="20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指  标</w:t>
            </w:r>
          </w:p>
        </w:tc>
        <w:tc>
          <w:tcPr>
            <w:tcW w:w="3938" w:type="dxa"/>
            <w:tcBorders>
              <w:top w:val="single" w:color="auto" w:sz="12" w:space="0"/>
              <w:right w:val="nil"/>
            </w:tcBorders>
            <w:shd w:val="clear" w:color="auto" w:fill="FFFFFF" w:themeFill="background1"/>
            <w:vAlign w:val="center"/>
          </w:tcPr>
          <w:p w14:paraId="4363A1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2" w:firstLineChars="20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涨  幅（%）</w:t>
            </w:r>
          </w:p>
        </w:tc>
      </w:tr>
      <w:tr w14:paraId="4272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381" w:type="dxa"/>
            <w:tcBorders>
              <w:left w:val="nil"/>
              <w:bottom w:val="nil"/>
            </w:tcBorders>
            <w:shd w:val="clear" w:color="auto" w:fill="FFFFFF" w:themeFill="background1"/>
            <w:vAlign w:val="center"/>
          </w:tcPr>
          <w:p w14:paraId="5540C6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居民消费价格</w:t>
            </w:r>
          </w:p>
        </w:tc>
        <w:tc>
          <w:tcPr>
            <w:tcW w:w="3938" w:type="dxa"/>
            <w:tcBorders>
              <w:bottom w:val="nil"/>
              <w:right w:val="nil"/>
            </w:tcBorders>
            <w:shd w:val="clear" w:color="auto" w:fill="FFFFFF" w:themeFill="background1"/>
            <w:vAlign w:val="center"/>
          </w:tcPr>
          <w:p w14:paraId="03F479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3.2</w:t>
            </w:r>
          </w:p>
        </w:tc>
      </w:tr>
      <w:tr w14:paraId="72E2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81" w:type="dxa"/>
            <w:tcBorders>
              <w:top w:val="nil"/>
              <w:left w:val="nil"/>
              <w:bottom w:val="nil"/>
            </w:tcBorders>
            <w:shd w:val="clear" w:color="auto" w:fill="FFFFFF" w:themeFill="background1"/>
            <w:vAlign w:val="center"/>
          </w:tcPr>
          <w:p w14:paraId="6F0AF0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食品烟酒</w:t>
            </w:r>
          </w:p>
        </w:tc>
        <w:tc>
          <w:tcPr>
            <w:tcW w:w="3938" w:type="dxa"/>
            <w:tcBorders>
              <w:top w:val="nil"/>
              <w:bottom w:val="nil"/>
              <w:right w:val="nil"/>
            </w:tcBorders>
            <w:shd w:val="clear" w:color="auto" w:fill="FFFFFF" w:themeFill="background1"/>
            <w:vAlign w:val="center"/>
          </w:tcPr>
          <w:p w14:paraId="2BABF9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8.2</w:t>
            </w:r>
          </w:p>
        </w:tc>
      </w:tr>
      <w:tr w14:paraId="3F05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81" w:type="dxa"/>
            <w:tcBorders>
              <w:top w:val="nil"/>
              <w:left w:val="nil"/>
              <w:bottom w:val="nil"/>
            </w:tcBorders>
            <w:shd w:val="clear" w:color="auto" w:fill="FFFFFF" w:themeFill="background1"/>
            <w:vAlign w:val="center"/>
          </w:tcPr>
          <w:p w14:paraId="0EE51D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衣着</w:t>
            </w:r>
          </w:p>
        </w:tc>
        <w:tc>
          <w:tcPr>
            <w:tcW w:w="3938" w:type="dxa"/>
            <w:tcBorders>
              <w:top w:val="nil"/>
              <w:bottom w:val="nil"/>
              <w:right w:val="nil"/>
            </w:tcBorders>
            <w:shd w:val="clear" w:color="auto" w:fill="FFFFFF" w:themeFill="background1"/>
            <w:vAlign w:val="center"/>
          </w:tcPr>
          <w:p w14:paraId="7BA3E4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0.5</w:t>
            </w:r>
          </w:p>
        </w:tc>
      </w:tr>
      <w:tr w14:paraId="472A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81" w:type="dxa"/>
            <w:tcBorders>
              <w:top w:val="nil"/>
              <w:left w:val="nil"/>
              <w:bottom w:val="nil"/>
            </w:tcBorders>
            <w:shd w:val="clear" w:color="auto" w:fill="FFFFFF" w:themeFill="background1"/>
            <w:vAlign w:val="center"/>
          </w:tcPr>
          <w:p w14:paraId="541EEF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居住</w:t>
            </w:r>
          </w:p>
        </w:tc>
        <w:tc>
          <w:tcPr>
            <w:tcW w:w="3938" w:type="dxa"/>
            <w:tcBorders>
              <w:top w:val="nil"/>
              <w:bottom w:val="nil"/>
              <w:right w:val="nil"/>
            </w:tcBorders>
            <w:shd w:val="clear" w:color="auto" w:fill="FFFFFF" w:themeFill="background1"/>
            <w:vAlign w:val="center"/>
          </w:tcPr>
          <w:p w14:paraId="38BADA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1.3</w:t>
            </w:r>
          </w:p>
        </w:tc>
      </w:tr>
      <w:tr w14:paraId="72C3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81" w:type="dxa"/>
            <w:tcBorders>
              <w:top w:val="nil"/>
              <w:left w:val="nil"/>
              <w:bottom w:val="nil"/>
            </w:tcBorders>
            <w:shd w:val="clear" w:color="auto" w:fill="FFFFFF" w:themeFill="background1"/>
            <w:vAlign w:val="center"/>
          </w:tcPr>
          <w:p w14:paraId="548781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生活用品及服务</w:t>
            </w:r>
          </w:p>
        </w:tc>
        <w:tc>
          <w:tcPr>
            <w:tcW w:w="3938" w:type="dxa"/>
            <w:tcBorders>
              <w:top w:val="nil"/>
              <w:bottom w:val="nil"/>
              <w:right w:val="nil"/>
            </w:tcBorders>
            <w:shd w:val="clear" w:color="auto" w:fill="FFFFFF" w:themeFill="background1"/>
            <w:vAlign w:val="center"/>
          </w:tcPr>
          <w:p w14:paraId="006213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0.7</w:t>
            </w:r>
          </w:p>
        </w:tc>
      </w:tr>
      <w:tr w14:paraId="18D3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81" w:type="dxa"/>
            <w:tcBorders>
              <w:top w:val="nil"/>
              <w:left w:val="nil"/>
              <w:bottom w:val="nil"/>
            </w:tcBorders>
            <w:shd w:val="clear" w:color="auto" w:fill="FFFFFF" w:themeFill="background1"/>
            <w:vAlign w:val="center"/>
          </w:tcPr>
          <w:p w14:paraId="4B6550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交通和通信</w:t>
            </w:r>
          </w:p>
        </w:tc>
        <w:tc>
          <w:tcPr>
            <w:tcW w:w="3938" w:type="dxa"/>
            <w:tcBorders>
              <w:top w:val="nil"/>
              <w:bottom w:val="nil"/>
              <w:right w:val="nil"/>
            </w:tcBorders>
            <w:shd w:val="clear" w:color="auto" w:fill="FFFFFF" w:themeFill="background1"/>
            <w:vAlign w:val="center"/>
          </w:tcPr>
          <w:p w14:paraId="1150A4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-2.1</w:t>
            </w:r>
          </w:p>
        </w:tc>
      </w:tr>
      <w:tr w14:paraId="287F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81" w:type="dxa"/>
            <w:tcBorders>
              <w:top w:val="nil"/>
              <w:left w:val="nil"/>
              <w:bottom w:val="nil"/>
            </w:tcBorders>
            <w:shd w:val="clear" w:color="auto" w:fill="FFFFFF" w:themeFill="background1"/>
            <w:vAlign w:val="center"/>
          </w:tcPr>
          <w:p w14:paraId="62EC15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教育文化和娱乐</w:t>
            </w:r>
          </w:p>
        </w:tc>
        <w:tc>
          <w:tcPr>
            <w:tcW w:w="3938" w:type="dxa"/>
            <w:tcBorders>
              <w:top w:val="nil"/>
              <w:bottom w:val="nil"/>
              <w:right w:val="nil"/>
            </w:tcBorders>
            <w:shd w:val="clear" w:color="auto" w:fill="FFFFFF" w:themeFill="background1"/>
            <w:vAlign w:val="center"/>
          </w:tcPr>
          <w:p w14:paraId="4E6297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4.5</w:t>
            </w:r>
          </w:p>
        </w:tc>
      </w:tr>
      <w:tr w14:paraId="22CA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81" w:type="dxa"/>
            <w:tcBorders>
              <w:top w:val="nil"/>
              <w:left w:val="nil"/>
              <w:bottom w:val="nil"/>
            </w:tcBorders>
            <w:shd w:val="clear" w:color="auto" w:fill="FFFFFF" w:themeFill="background1"/>
            <w:vAlign w:val="center"/>
          </w:tcPr>
          <w:p w14:paraId="66314F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医疗保健</w:t>
            </w:r>
          </w:p>
        </w:tc>
        <w:tc>
          <w:tcPr>
            <w:tcW w:w="3938" w:type="dxa"/>
            <w:tcBorders>
              <w:top w:val="nil"/>
              <w:bottom w:val="nil"/>
              <w:right w:val="nil"/>
            </w:tcBorders>
            <w:shd w:val="clear" w:color="auto" w:fill="FFFFFF" w:themeFill="background1"/>
            <w:vAlign w:val="center"/>
          </w:tcPr>
          <w:p w14:paraId="65A03C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0.5</w:t>
            </w:r>
          </w:p>
        </w:tc>
      </w:tr>
      <w:tr w14:paraId="3195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381" w:type="dxa"/>
            <w:tcBorders>
              <w:top w:val="nil"/>
              <w:left w:val="nil"/>
              <w:bottom w:val="single" w:color="auto" w:sz="12" w:space="0"/>
            </w:tcBorders>
            <w:shd w:val="clear" w:color="auto" w:fill="FFFFFF" w:themeFill="background1"/>
            <w:vAlign w:val="center"/>
          </w:tcPr>
          <w:p w14:paraId="4DE866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其他用品及服务</w:t>
            </w:r>
          </w:p>
        </w:tc>
        <w:tc>
          <w:tcPr>
            <w:tcW w:w="3938" w:type="dxa"/>
            <w:tcBorders>
              <w:top w:val="nil"/>
              <w:bottom w:val="single" w:color="auto" w:sz="12" w:space="0"/>
              <w:right w:val="nil"/>
            </w:tcBorders>
            <w:shd w:val="clear" w:color="auto" w:fill="FFFFFF" w:themeFill="background1"/>
            <w:vAlign w:val="center"/>
          </w:tcPr>
          <w:p w14:paraId="6278DF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2.7</w:t>
            </w:r>
          </w:p>
        </w:tc>
      </w:tr>
    </w:tbl>
    <w:p w14:paraId="11284F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auto"/>
          <w:sz w:val="24"/>
          <w:szCs w:val="24"/>
          <w:shd w:val="clear" w:fill="FFFFFF"/>
          <w:lang w:val="en-US" w:eastAsia="zh-CN"/>
        </w:rPr>
      </w:pPr>
      <w:r>
        <w:rPr>
          <w:rFonts w:hint="eastAsia" w:asciiTheme="minorEastAsia" w:hAnsiTheme="minorEastAsia" w:eastAsiaTheme="minorEastAsia" w:cstheme="minorEastAsia"/>
          <w:color w:val="auto"/>
          <w:sz w:val="24"/>
          <w:szCs w:val="24"/>
          <w:shd w:val="clear" w:fill="FFFFFF"/>
          <w:lang w:val="en-US" w:eastAsia="zh-CN"/>
        </w:rPr>
        <w:t>全年全县城镇新增就业4264人，农村劳动力转移就业3214人，城镇登记失业率2.85％。</w:t>
      </w:r>
    </w:p>
    <w:p w14:paraId="04E8C4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rPr>
        <w:t>二、农  业</w:t>
      </w:r>
    </w:p>
    <w:p w14:paraId="0152C4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全年全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农作物种植面积</w:t>
      </w:r>
      <w:r>
        <w:rPr>
          <w:rFonts w:hint="eastAsia" w:asciiTheme="minorEastAsia" w:hAnsiTheme="minorEastAsia" w:eastAsiaTheme="minorEastAsia" w:cstheme="minorEastAsia"/>
          <w:color w:val="333333"/>
          <w:sz w:val="24"/>
          <w:szCs w:val="24"/>
          <w:shd w:val="clear" w:fill="FFFFFF"/>
          <w:lang w:val="en-US" w:eastAsia="zh-CN"/>
        </w:rPr>
        <w:t>23199.1</w:t>
      </w:r>
      <w:r>
        <w:rPr>
          <w:rFonts w:hint="eastAsia" w:asciiTheme="minorEastAsia" w:hAnsiTheme="minorEastAsia" w:eastAsiaTheme="minorEastAsia" w:cstheme="minorEastAsia"/>
          <w:color w:val="333333"/>
          <w:sz w:val="24"/>
          <w:szCs w:val="24"/>
          <w:shd w:val="clear" w:fill="FFFFFF"/>
        </w:rPr>
        <w:t>公顷，比上</w:t>
      </w:r>
      <w:r>
        <w:rPr>
          <w:rFonts w:hint="eastAsia" w:asciiTheme="minorEastAsia" w:hAnsiTheme="minorEastAsia" w:eastAsiaTheme="minorEastAsia" w:cstheme="minorEastAsia"/>
          <w:color w:val="333333"/>
          <w:sz w:val="24"/>
          <w:szCs w:val="24"/>
          <w:shd w:val="clear" w:fill="FFFFFF"/>
          <w:lang w:eastAsia="zh-CN"/>
        </w:rPr>
        <w:t>年增加</w:t>
      </w:r>
      <w:r>
        <w:rPr>
          <w:rFonts w:hint="eastAsia" w:asciiTheme="minorEastAsia" w:hAnsiTheme="minorEastAsia" w:eastAsiaTheme="minorEastAsia" w:cstheme="minorEastAsia"/>
          <w:color w:val="333333"/>
          <w:sz w:val="24"/>
          <w:szCs w:val="24"/>
          <w:shd w:val="clear" w:fill="FFFFFF"/>
          <w:lang w:val="en-US" w:eastAsia="zh-CN"/>
        </w:rPr>
        <w:t>954.5</w:t>
      </w:r>
      <w:r>
        <w:rPr>
          <w:rFonts w:hint="eastAsia" w:asciiTheme="minorEastAsia" w:hAnsiTheme="minorEastAsia" w:eastAsiaTheme="minorEastAsia" w:cstheme="minorEastAsia"/>
          <w:color w:val="333333"/>
          <w:sz w:val="24"/>
          <w:szCs w:val="24"/>
          <w:shd w:val="clear" w:fill="FFFFFF"/>
        </w:rPr>
        <w:t>公顷。其中，粮食种植面积</w:t>
      </w:r>
      <w:r>
        <w:rPr>
          <w:rFonts w:hint="eastAsia" w:asciiTheme="minorEastAsia" w:hAnsiTheme="minorEastAsia" w:eastAsiaTheme="minorEastAsia" w:cstheme="minorEastAsia"/>
          <w:color w:val="333333"/>
          <w:sz w:val="24"/>
          <w:szCs w:val="24"/>
          <w:shd w:val="clear" w:fill="FFFFFF"/>
          <w:lang w:val="en-US" w:eastAsia="zh-CN"/>
        </w:rPr>
        <w:t>19806.3</w:t>
      </w:r>
      <w:r>
        <w:rPr>
          <w:rFonts w:hint="eastAsia" w:asciiTheme="minorEastAsia" w:hAnsiTheme="minorEastAsia" w:eastAsiaTheme="minorEastAsia" w:cstheme="minorEastAsia"/>
          <w:color w:val="333333"/>
          <w:sz w:val="24"/>
          <w:szCs w:val="24"/>
          <w:shd w:val="clear" w:fill="FFFFFF"/>
        </w:rPr>
        <w:t>公顷，</w:t>
      </w:r>
      <w:r>
        <w:rPr>
          <w:rFonts w:hint="eastAsia" w:asciiTheme="minorEastAsia" w:hAnsiTheme="minorEastAsia" w:eastAsiaTheme="minorEastAsia" w:cstheme="minorEastAsia"/>
          <w:color w:val="333333"/>
          <w:sz w:val="24"/>
          <w:szCs w:val="24"/>
          <w:shd w:val="clear" w:fill="FFFFFF"/>
          <w:lang w:eastAsia="zh-CN"/>
        </w:rPr>
        <w:t>比上年</w:t>
      </w:r>
      <w:r>
        <w:rPr>
          <w:rFonts w:hint="eastAsia" w:asciiTheme="minorEastAsia" w:hAnsiTheme="minorEastAsia" w:eastAsiaTheme="minorEastAsia" w:cstheme="minorEastAsia"/>
          <w:color w:val="333333"/>
          <w:sz w:val="24"/>
          <w:szCs w:val="24"/>
          <w:shd w:val="clear" w:fill="FFFFFF"/>
        </w:rPr>
        <w:t>减少</w:t>
      </w:r>
      <w:r>
        <w:rPr>
          <w:rFonts w:hint="eastAsia" w:asciiTheme="minorEastAsia" w:hAnsiTheme="minorEastAsia" w:eastAsiaTheme="minorEastAsia" w:cstheme="minorEastAsia"/>
          <w:color w:val="333333"/>
          <w:sz w:val="24"/>
          <w:szCs w:val="24"/>
          <w:shd w:val="clear" w:fill="FFFFFF"/>
          <w:lang w:val="en-US" w:eastAsia="zh-CN"/>
        </w:rPr>
        <w:t>117.2</w:t>
      </w:r>
      <w:r>
        <w:rPr>
          <w:rFonts w:hint="eastAsia" w:asciiTheme="minorEastAsia" w:hAnsiTheme="minorEastAsia" w:eastAsiaTheme="minorEastAsia" w:cstheme="minorEastAsia"/>
          <w:color w:val="333333"/>
          <w:sz w:val="24"/>
          <w:szCs w:val="24"/>
          <w:shd w:val="clear" w:fill="FFFFFF"/>
        </w:rPr>
        <w:t>公顷；油料种植面积</w:t>
      </w:r>
      <w:r>
        <w:rPr>
          <w:rFonts w:hint="eastAsia" w:asciiTheme="minorEastAsia" w:hAnsiTheme="minorEastAsia" w:eastAsiaTheme="minorEastAsia" w:cstheme="minorEastAsia"/>
          <w:color w:val="333333"/>
          <w:sz w:val="24"/>
          <w:szCs w:val="24"/>
          <w:shd w:val="clear" w:fill="FFFFFF"/>
          <w:lang w:val="en-US" w:eastAsia="zh-CN"/>
        </w:rPr>
        <w:t xml:space="preserve"> 633</w:t>
      </w:r>
      <w:r>
        <w:rPr>
          <w:rFonts w:hint="eastAsia" w:asciiTheme="minorEastAsia" w:hAnsiTheme="minorEastAsia" w:eastAsiaTheme="minorEastAsia" w:cstheme="minorEastAsia"/>
          <w:color w:val="333333"/>
          <w:sz w:val="24"/>
          <w:szCs w:val="24"/>
          <w:shd w:val="clear" w:fill="FFFFFF"/>
        </w:rPr>
        <w:t>公顷，</w:t>
      </w:r>
      <w:r>
        <w:rPr>
          <w:rFonts w:hint="eastAsia" w:asciiTheme="minorEastAsia" w:hAnsiTheme="minorEastAsia" w:eastAsiaTheme="minorEastAsia" w:cstheme="minorEastAsia"/>
          <w:color w:val="333333"/>
          <w:sz w:val="24"/>
          <w:szCs w:val="24"/>
          <w:shd w:val="clear" w:fill="FFFFFF"/>
          <w:lang w:eastAsia="zh-CN"/>
        </w:rPr>
        <w:t>比上年</w:t>
      </w:r>
      <w:r>
        <w:rPr>
          <w:rFonts w:hint="eastAsia" w:asciiTheme="minorEastAsia" w:hAnsiTheme="minorEastAsia" w:eastAsiaTheme="minorEastAsia" w:cstheme="minorEastAsia"/>
          <w:color w:val="333333"/>
          <w:sz w:val="24"/>
          <w:szCs w:val="24"/>
          <w:shd w:val="clear" w:fill="FFFFFF"/>
        </w:rPr>
        <w:t>减少</w:t>
      </w:r>
      <w:r>
        <w:rPr>
          <w:rFonts w:hint="eastAsia" w:asciiTheme="minorEastAsia" w:hAnsiTheme="minorEastAsia" w:eastAsiaTheme="minorEastAsia" w:cstheme="minorEastAsia"/>
          <w:color w:val="333333"/>
          <w:sz w:val="24"/>
          <w:szCs w:val="24"/>
          <w:shd w:val="clear" w:fill="FFFFFF"/>
          <w:lang w:val="en-US" w:eastAsia="zh-CN"/>
        </w:rPr>
        <w:t>100</w:t>
      </w:r>
      <w:r>
        <w:rPr>
          <w:rFonts w:hint="eastAsia" w:asciiTheme="minorEastAsia" w:hAnsiTheme="minorEastAsia" w:eastAsiaTheme="minorEastAsia" w:cstheme="minorEastAsia"/>
          <w:color w:val="333333"/>
          <w:sz w:val="24"/>
          <w:szCs w:val="24"/>
          <w:shd w:val="clear" w:fill="FFFFFF"/>
        </w:rPr>
        <w:t>公顷；棉花种植面积</w:t>
      </w:r>
      <w:r>
        <w:rPr>
          <w:rFonts w:hint="eastAsia" w:asciiTheme="minorEastAsia" w:hAnsiTheme="minorEastAsia" w:eastAsiaTheme="minorEastAsia" w:cstheme="minorEastAsia"/>
          <w:color w:val="333333"/>
          <w:sz w:val="24"/>
          <w:szCs w:val="24"/>
          <w:shd w:val="clear" w:fill="FFFFFF"/>
          <w:lang w:val="en-US" w:eastAsia="zh-CN"/>
        </w:rPr>
        <w:t xml:space="preserve"> 34.3</w:t>
      </w:r>
      <w:r>
        <w:rPr>
          <w:rFonts w:hint="eastAsia" w:asciiTheme="minorEastAsia" w:hAnsiTheme="minorEastAsia" w:eastAsiaTheme="minorEastAsia" w:cstheme="minorEastAsia"/>
          <w:color w:val="333333"/>
          <w:sz w:val="24"/>
          <w:szCs w:val="24"/>
          <w:shd w:val="clear" w:fill="FFFFFF"/>
        </w:rPr>
        <w:t>公顷。在粮食种植面积中，玉米种植面积</w:t>
      </w:r>
      <w:r>
        <w:rPr>
          <w:rFonts w:hint="eastAsia" w:asciiTheme="minorEastAsia" w:hAnsiTheme="minorEastAsia" w:eastAsiaTheme="minorEastAsia" w:cstheme="minorEastAsia"/>
          <w:color w:val="333333"/>
          <w:sz w:val="24"/>
          <w:szCs w:val="24"/>
          <w:shd w:val="clear" w:fill="FFFFFF"/>
          <w:lang w:val="en-US" w:eastAsia="zh-CN"/>
        </w:rPr>
        <w:t xml:space="preserve"> 6689.6</w:t>
      </w:r>
      <w:r>
        <w:rPr>
          <w:rFonts w:hint="eastAsia" w:asciiTheme="minorEastAsia" w:hAnsiTheme="minorEastAsia" w:eastAsiaTheme="minorEastAsia" w:cstheme="minorEastAsia"/>
          <w:color w:val="333333"/>
          <w:sz w:val="24"/>
          <w:szCs w:val="24"/>
          <w:shd w:val="clear" w:fill="FFFFFF"/>
        </w:rPr>
        <w:t>公顷，</w:t>
      </w:r>
      <w:r>
        <w:rPr>
          <w:rFonts w:hint="eastAsia" w:asciiTheme="minorEastAsia" w:hAnsiTheme="minorEastAsia" w:eastAsiaTheme="minorEastAsia" w:cstheme="minorEastAsia"/>
          <w:color w:val="333333"/>
          <w:sz w:val="24"/>
          <w:szCs w:val="24"/>
          <w:shd w:val="clear" w:fill="FFFFFF"/>
          <w:lang w:eastAsia="zh-CN"/>
        </w:rPr>
        <w:t>比上年增加</w:t>
      </w:r>
      <w:r>
        <w:rPr>
          <w:rFonts w:hint="eastAsia" w:asciiTheme="minorEastAsia" w:hAnsiTheme="minorEastAsia" w:eastAsiaTheme="minorEastAsia" w:cstheme="minorEastAsia"/>
          <w:color w:val="333333"/>
          <w:sz w:val="24"/>
          <w:szCs w:val="24"/>
          <w:shd w:val="clear" w:fill="FFFFFF"/>
          <w:lang w:val="en-US" w:eastAsia="zh-CN"/>
        </w:rPr>
        <w:t>577.4</w:t>
      </w:r>
      <w:r>
        <w:rPr>
          <w:rFonts w:hint="eastAsia" w:asciiTheme="minorEastAsia" w:hAnsiTheme="minorEastAsia" w:eastAsiaTheme="minorEastAsia" w:cstheme="minorEastAsia"/>
          <w:color w:val="333333"/>
          <w:sz w:val="24"/>
          <w:szCs w:val="24"/>
          <w:shd w:val="clear" w:fill="FFFFFF"/>
        </w:rPr>
        <w:t>公顷；小麦种植面积</w:t>
      </w:r>
      <w:r>
        <w:rPr>
          <w:rFonts w:hint="eastAsia" w:asciiTheme="minorEastAsia" w:hAnsiTheme="minorEastAsia" w:eastAsiaTheme="minorEastAsia" w:cstheme="minorEastAsia"/>
          <w:color w:val="333333"/>
          <w:sz w:val="24"/>
          <w:szCs w:val="24"/>
          <w:shd w:val="clear" w:fill="FFFFFF"/>
          <w:lang w:val="en-US" w:eastAsia="zh-CN"/>
        </w:rPr>
        <w:t xml:space="preserve"> 12</w:t>
      </w:r>
      <w:r>
        <w:rPr>
          <w:rFonts w:hint="eastAsia" w:asciiTheme="minorEastAsia" w:hAnsiTheme="minorEastAsia" w:eastAsiaTheme="minorEastAsia" w:cstheme="minorEastAsia"/>
          <w:color w:val="333333"/>
          <w:sz w:val="24"/>
          <w:szCs w:val="24"/>
          <w:shd w:val="clear" w:fill="FFFFFF"/>
        </w:rPr>
        <w:t>公顷，</w:t>
      </w:r>
      <w:r>
        <w:rPr>
          <w:rFonts w:hint="eastAsia" w:asciiTheme="minorEastAsia" w:hAnsiTheme="minorEastAsia" w:eastAsiaTheme="minorEastAsia" w:cstheme="minorEastAsia"/>
          <w:color w:val="333333"/>
          <w:sz w:val="24"/>
          <w:szCs w:val="24"/>
          <w:shd w:val="clear" w:fill="FFFFFF"/>
          <w:lang w:eastAsia="zh-CN"/>
        </w:rPr>
        <w:t>比上年</w:t>
      </w:r>
      <w:r>
        <w:rPr>
          <w:rFonts w:hint="eastAsia" w:asciiTheme="minorEastAsia" w:hAnsiTheme="minorEastAsia" w:eastAsiaTheme="minorEastAsia" w:cstheme="minorEastAsia"/>
          <w:color w:val="333333"/>
          <w:sz w:val="24"/>
          <w:szCs w:val="24"/>
          <w:shd w:val="clear" w:fill="FFFFFF"/>
        </w:rPr>
        <w:t>减少</w:t>
      </w:r>
      <w:r>
        <w:rPr>
          <w:rFonts w:hint="eastAsia" w:asciiTheme="minorEastAsia" w:hAnsiTheme="minorEastAsia" w:eastAsiaTheme="minorEastAsia" w:cstheme="minorEastAsia"/>
          <w:color w:val="333333"/>
          <w:sz w:val="24"/>
          <w:szCs w:val="24"/>
          <w:shd w:val="clear" w:fill="FFFFFF"/>
          <w:lang w:val="en-US" w:eastAsia="zh-CN"/>
        </w:rPr>
        <w:t>2.8</w:t>
      </w:r>
      <w:r>
        <w:rPr>
          <w:rFonts w:hint="eastAsia" w:asciiTheme="minorEastAsia" w:hAnsiTheme="minorEastAsia" w:eastAsiaTheme="minorEastAsia" w:cstheme="minorEastAsia"/>
          <w:color w:val="333333"/>
          <w:sz w:val="24"/>
          <w:szCs w:val="24"/>
          <w:shd w:val="clear" w:fill="FFFFFF"/>
        </w:rPr>
        <w:t xml:space="preserve">公顷。 </w:t>
      </w:r>
    </w:p>
    <w:p w14:paraId="7BCCFE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shd w:val="clear" w:fill="FFFFFF"/>
        </w:rPr>
      </w:pPr>
      <w:r>
        <w:rPr>
          <w:rFonts w:hint="eastAsia" w:asciiTheme="minorEastAsia" w:hAnsiTheme="minorEastAsia" w:eastAsiaTheme="minorEastAsia" w:cstheme="minorEastAsia"/>
          <w:color w:val="auto"/>
          <w:sz w:val="24"/>
          <w:szCs w:val="24"/>
          <w:shd w:val="clear" w:fill="FFFFFF"/>
        </w:rPr>
        <w:t>全年粮食产量</w:t>
      </w:r>
      <w:r>
        <w:rPr>
          <w:rFonts w:hint="eastAsia" w:asciiTheme="minorEastAsia" w:hAnsiTheme="minorEastAsia" w:eastAsiaTheme="minorEastAsia" w:cstheme="minorEastAsia"/>
          <w:color w:val="auto"/>
          <w:sz w:val="24"/>
          <w:szCs w:val="24"/>
          <w:shd w:val="clear" w:fill="FFFFFF"/>
          <w:lang w:val="en-US" w:eastAsia="zh-CN"/>
        </w:rPr>
        <w:t>39558</w:t>
      </w:r>
      <w:r>
        <w:rPr>
          <w:rFonts w:hint="eastAsia" w:asciiTheme="minorEastAsia" w:hAnsiTheme="minorEastAsia" w:eastAsiaTheme="minorEastAsia" w:cstheme="minorEastAsia"/>
          <w:color w:val="auto"/>
          <w:sz w:val="24"/>
          <w:szCs w:val="24"/>
          <w:shd w:val="clear" w:fill="FFFFFF"/>
        </w:rPr>
        <w:t>吨，</w:t>
      </w:r>
      <w:r>
        <w:rPr>
          <w:rFonts w:hint="eastAsia" w:asciiTheme="minorEastAsia" w:hAnsiTheme="minorEastAsia" w:eastAsiaTheme="minorEastAsia" w:cstheme="minorEastAsia"/>
          <w:color w:val="auto"/>
          <w:sz w:val="24"/>
          <w:szCs w:val="24"/>
          <w:shd w:val="clear" w:fill="FFFFFF"/>
          <w:lang w:eastAsia="zh-CN"/>
        </w:rPr>
        <w:t>比上年</w:t>
      </w:r>
      <w:r>
        <w:rPr>
          <w:rFonts w:hint="eastAsia" w:asciiTheme="minorEastAsia" w:hAnsiTheme="minorEastAsia" w:eastAsiaTheme="minorEastAsia" w:cstheme="minorEastAsia"/>
          <w:color w:val="auto"/>
          <w:sz w:val="24"/>
          <w:szCs w:val="24"/>
          <w:shd w:val="clear" w:fill="FFFFFF"/>
        </w:rPr>
        <w:t>减少</w:t>
      </w:r>
      <w:r>
        <w:rPr>
          <w:rFonts w:hint="eastAsia" w:asciiTheme="minorEastAsia" w:hAnsiTheme="minorEastAsia" w:eastAsiaTheme="minorEastAsia" w:cstheme="minorEastAsia"/>
          <w:color w:val="auto"/>
          <w:sz w:val="24"/>
          <w:szCs w:val="24"/>
          <w:shd w:val="clear" w:fill="FFFFFF"/>
          <w:lang w:val="en-US" w:eastAsia="zh-CN"/>
        </w:rPr>
        <w:t>14263.5</w:t>
      </w:r>
      <w:r>
        <w:rPr>
          <w:rFonts w:hint="eastAsia" w:asciiTheme="minorEastAsia" w:hAnsiTheme="minorEastAsia" w:eastAsiaTheme="minorEastAsia" w:cstheme="minorEastAsia"/>
          <w:color w:val="auto"/>
          <w:sz w:val="24"/>
          <w:szCs w:val="24"/>
          <w:shd w:val="clear" w:fill="FFFFFF"/>
        </w:rPr>
        <w:t>吨，同比下降</w:t>
      </w:r>
      <w:r>
        <w:rPr>
          <w:rFonts w:hint="eastAsia" w:asciiTheme="minorEastAsia" w:hAnsiTheme="minorEastAsia" w:eastAsiaTheme="minorEastAsia" w:cstheme="minorEastAsia"/>
          <w:color w:val="auto"/>
          <w:sz w:val="24"/>
          <w:szCs w:val="24"/>
          <w:shd w:val="clear" w:fill="FFFFFF"/>
          <w:lang w:val="en-US" w:eastAsia="zh-CN"/>
        </w:rPr>
        <w:t xml:space="preserve">26.5 </w:t>
      </w:r>
      <w:r>
        <w:rPr>
          <w:rFonts w:hint="eastAsia" w:asciiTheme="minorEastAsia" w:hAnsiTheme="minorEastAsia" w:eastAsiaTheme="minorEastAsia" w:cstheme="minorEastAsia"/>
          <w:color w:val="auto"/>
          <w:sz w:val="24"/>
          <w:szCs w:val="24"/>
          <w:shd w:val="clear" w:fill="FFFFFF"/>
        </w:rPr>
        <w:t>%。其中，</w:t>
      </w:r>
      <w:bookmarkStart w:id="0" w:name="_GoBack"/>
      <w:bookmarkEnd w:id="0"/>
      <w:r>
        <w:rPr>
          <w:rFonts w:hint="eastAsia" w:asciiTheme="minorEastAsia" w:hAnsiTheme="minorEastAsia" w:eastAsiaTheme="minorEastAsia" w:cstheme="minorEastAsia"/>
          <w:color w:val="auto"/>
          <w:sz w:val="24"/>
          <w:szCs w:val="24"/>
          <w:shd w:val="clear" w:fill="FFFFFF"/>
        </w:rPr>
        <w:t>秋粮</w:t>
      </w:r>
      <w:r>
        <w:rPr>
          <w:rFonts w:hint="eastAsia" w:asciiTheme="minorEastAsia" w:hAnsiTheme="minorEastAsia" w:eastAsiaTheme="minorEastAsia" w:cstheme="minorEastAsia"/>
          <w:color w:val="auto"/>
          <w:sz w:val="24"/>
          <w:szCs w:val="24"/>
          <w:shd w:val="clear" w:fill="FFFFFF"/>
          <w:lang w:val="en-US" w:eastAsia="zh-CN"/>
        </w:rPr>
        <w:t>39546.1</w:t>
      </w:r>
      <w:r>
        <w:rPr>
          <w:rFonts w:hint="eastAsia" w:asciiTheme="minorEastAsia" w:hAnsiTheme="minorEastAsia" w:eastAsiaTheme="minorEastAsia" w:cstheme="minorEastAsia"/>
          <w:color w:val="auto"/>
          <w:sz w:val="24"/>
          <w:szCs w:val="24"/>
          <w:shd w:val="clear" w:fill="FFFFFF"/>
        </w:rPr>
        <w:t>吨，同比下降</w:t>
      </w:r>
      <w:r>
        <w:rPr>
          <w:rFonts w:hint="eastAsia" w:asciiTheme="minorEastAsia" w:hAnsiTheme="minorEastAsia" w:eastAsiaTheme="minorEastAsia" w:cstheme="minorEastAsia"/>
          <w:color w:val="auto"/>
          <w:sz w:val="24"/>
          <w:szCs w:val="24"/>
          <w:shd w:val="clear" w:fill="FFFFFF"/>
          <w:lang w:val="en-US" w:eastAsia="zh-CN"/>
        </w:rPr>
        <w:t xml:space="preserve"> 26.5</w:t>
      </w:r>
      <w:r>
        <w:rPr>
          <w:rFonts w:hint="eastAsia" w:asciiTheme="minorEastAsia" w:hAnsiTheme="minorEastAsia" w:eastAsiaTheme="minorEastAsia" w:cstheme="minorEastAsia"/>
          <w:color w:val="auto"/>
          <w:sz w:val="24"/>
          <w:szCs w:val="24"/>
          <w:shd w:val="clear" w:fill="FFFFFF"/>
        </w:rPr>
        <w:t>%。</w:t>
      </w:r>
    </w:p>
    <w:p w14:paraId="0E4C3604">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表3</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b/>
          <w:bCs/>
          <w:color w:val="333333"/>
          <w:kern w:val="0"/>
          <w:sz w:val="24"/>
          <w:szCs w:val="24"/>
          <w:shd w:val="clear" w:color="auto" w:fill="FFFFFF"/>
          <w:lang w:bidi="ar"/>
        </w:rPr>
        <w:t>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年主要农林产品产量</w:t>
      </w:r>
    </w:p>
    <w:tbl>
      <w:tblPr>
        <w:tblStyle w:val="6"/>
        <w:tblpPr w:leftFromText="180" w:rightFromText="180" w:vertAnchor="text" w:horzAnchor="page" w:tblpX="1768" w:tblpY="474"/>
        <w:tblOverlap w:val="never"/>
        <w:tblW w:w="8418" w:type="dxa"/>
        <w:tblInd w:w="0" w:type="dxa"/>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Layout w:type="fixed"/>
        <w:tblCellMar>
          <w:top w:w="0" w:type="dxa"/>
          <w:left w:w="108" w:type="dxa"/>
          <w:bottom w:w="0" w:type="dxa"/>
          <w:right w:w="108" w:type="dxa"/>
        </w:tblCellMar>
      </w:tblPr>
      <w:tblGrid>
        <w:gridCol w:w="3031"/>
        <w:gridCol w:w="2693"/>
        <w:gridCol w:w="2694"/>
      </w:tblGrid>
      <w:tr w14:paraId="0F22B319">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856" w:hRule="exact"/>
        </w:trPr>
        <w:tc>
          <w:tcPr>
            <w:tcW w:w="3031" w:type="dxa"/>
            <w:tcBorders>
              <w:bottom w:val="single" w:color="auto" w:sz="12" w:space="0"/>
              <w:right w:val="single" w:color="auto" w:sz="12" w:space="0"/>
            </w:tcBorders>
            <w:noWrap w:val="0"/>
            <w:vAlign w:val="center"/>
          </w:tcPr>
          <w:p w14:paraId="435B0FD0">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产品名称</w:t>
            </w:r>
          </w:p>
        </w:tc>
        <w:tc>
          <w:tcPr>
            <w:tcW w:w="2693" w:type="dxa"/>
            <w:tcBorders>
              <w:left w:val="single" w:color="auto" w:sz="12" w:space="0"/>
              <w:bottom w:val="single" w:color="auto" w:sz="12" w:space="0"/>
              <w:right w:val="single" w:color="auto" w:sz="12" w:space="0"/>
            </w:tcBorders>
            <w:noWrap w:val="0"/>
            <w:vAlign w:val="center"/>
          </w:tcPr>
          <w:p w14:paraId="04CC7CF3">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产 量（吨）</w:t>
            </w:r>
          </w:p>
        </w:tc>
        <w:tc>
          <w:tcPr>
            <w:tcW w:w="2694" w:type="dxa"/>
            <w:tcBorders>
              <w:left w:val="single" w:color="auto" w:sz="12" w:space="0"/>
              <w:bottom w:val="single" w:color="auto" w:sz="12" w:space="0"/>
            </w:tcBorders>
            <w:noWrap w:val="0"/>
            <w:vAlign w:val="center"/>
          </w:tcPr>
          <w:p w14:paraId="3A90FFFA">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val="en-US" w:eastAsia="zh-CN" w:bidi="ar"/>
              </w:rPr>
            </w:pPr>
            <w:r>
              <w:rPr>
                <w:rFonts w:hint="eastAsia" w:asciiTheme="minorEastAsia" w:hAnsiTheme="minorEastAsia" w:eastAsiaTheme="minorEastAsia" w:cstheme="minorEastAsia"/>
                <w:b/>
                <w:bCs/>
                <w:color w:val="333333"/>
                <w:kern w:val="0"/>
                <w:sz w:val="24"/>
                <w:szCs w:val="24"/>
                <w:shd w:val="clear" w:color="auto" w:fill="FFFFFF"/>
                <w:lang w:val="en-US" w:eastAsia="zh-CN" w:bidi="ar"/>
              </w:rPr>
              <w:t>比上年增长（%）</w:t>
            </w:r>
          </w:p>
        </w:tc>
      </w:tr>
      <w:tr w14:paraId="0227CCE3">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14:paraId="294A91F2">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农作物产量</w:t>
            </w:r>
          </w:p>
        </w:tc>
        <w:tc>
          <w:tcPr>
            <w:tcW w:w="2693" w:type="dxa"/>
            <w:tcBorders>
              <w:top w:val="single" w:color="auto" w:sz="12" w:space="0"/>
              <w:tl2br w:val="nil"/>
              <w:tr2bl w:val="nil"/>
            </w:tcBorders>
            <w:noWrap w:val="0"/>
            <w:vAlign w:val="center"/>
          </w:tcPr>
          <w:p w14:paraId="4F2C871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000000" w:themeColor="text1"/>
                <w:kern w:val="0"/>
                <w:sz w:val="24"/>
                <w:szCs w:val="24"/>
                <w:shd w:val="clear" w:color="auto" w:fill="FFFFFF"/>
                <w:lang w:val="en-US" w:eastAsia="zh-CN" w:bidi="ar"/>
                <w14:textFill>
                  <w14:solidFill>
                    <w14:schemeClr w14:val="tx1"/>
                  </w14:solidFill>
                </w14:textFill>
              </w:rPr>
              <w:t>62527</w:t>
            </w:r>
          </w:p>
        </w:tc>
        <w:tc>
          <w:tcPr>
            <w:tcW w:w="2694" w:type="dxa"/>
            <w:tcBorders>
              <w:top w:val="single" w:color="auto" w:sz="12" w:space="0"/>
              <w:tl2br w:val="nil"/>
              <w:tr2bl w:val="nil"/>
            </w:tcBorders>
            <w:noWrap w:val="0"/>
            <w:vAlign w:val="center"/>
          </w:tcPr>
          <w:p w14:paraId="723219A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-17.4</w:t>
            </w:r>
          </w:p>
        </w:tc>
      </w:tr>
      <w:tr w14:paraId="4ADF8850">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14:paraId="754FE7D8">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粮  食</w:t>
            </w:r>
          </w:p>
        </w:tc>
        <w:tc>
          <w:tcPr>
            <w:tcW w:w="2693" w:type="dxa"/>
            <w:tcBorders>
              <w:tl2br w:val="nil"/>
              <w:tr2bl w:val="nil"/>
            </w:tcBorders>
            <w:noWrap w:val="0"/>
            <w:vAlign w:val="center"/>
          </w:tcPr>
          <w:p w14:paraId="09B4E870">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39558</w:t>
            </w:r>
          </w:p>
        </w:tc>
        <w:tc>
          <w:tcPr>
            <w:tcW w:w="2694" w:type="dxa"/>
            <w:tcBorders>
              <w:tl2br w:val="nil"/>
              <w:tr2bl w:val="nil"/>
            </w:tcBorders>
            <w:noWrap w:val="0"/>
            <w:vAlign w:val="center"/>
          </w:tcPr>
          <w:p w14:paraId="2F1AD294">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-26.5</w:t>
            </w:r>
          </w:p>
        </w:tc>
      </w:tr>
      <w:tr w14:paraId="0CA5F126">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14:paraId="3293295C">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玉 米</w:t>
            </w:r>
          </w:p>
        </w:tc>
        <w:tc>
          <w:tcPr>
            <w:tcW w:w="2693" w:type="dxa"/>
            <w:tcBorders>
              <w:tl2br w:val="nil"/>
              <w:tr2bl w:val="nil"/>
            </w:tcBorders>
            <w:noWrap w:val="0"/>
            <w:vAlign w:val="center"/>
          </w:tcPr>
          <w:p w14:paraId="47ACB52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18661</w:t>
            </w:r>
          </w:p>
        </w:tc>
        <w:tc>
          <w:tcPr>
            <w:tcW w:w="2694" w:type="dxa"/>
            <w:tcBorders>
              <w:tl2br w:val="nil"/>
              <w:tr2bl w:val="nil"/>
            </w:tcBorders>
            <w:noWrap w:val="0"/>
            <w:vAlign w:val="center"/>
          </w:tcPr>
          <w:p w14:paraId="374D2132">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-28.2</w:t>
            </w:r>
          </w:p>
        </w:tc>
      </w:tr>
      <w:tr w14:paraId="581711D9">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14:paraId="37F1940E">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谷 子</w:t>
            </w:r>
          </w:p>
        </w:tc>
        <w:tc>
          <w:tcPr>
            <w:tcW w:w="2693" w:type="dxa"/>
            <w:tcBorders>
              <w:tl2br w:val="nil"/>
              <w:tr2bl w:val="nil"/>
            </w:tcBorders>
            <w:noWrap w:val="0"/>
            <w:vAlign w:val="center"/>
          </w:tcPr>
          <w:p w14:paraId="71247417">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7158</w:t>
            </w:r>
          </w:p>
        </w:tc>
        <w:tc>
          <w:tcPr>
            <w:tcW w:w="2694" w:type="dxa"/>
            <w:tcBorders>
              <w:tl2br w:val="nil"/>
              <w:tr2bl w:val="nil"/>
            </w:tcBorders>
            <w:noWrap w:val="0"/>
            <w:vAlign w:val="center"/>
          </w:tcPr>
          <w:p w14:paraId="6D05EB0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-27.6</w:t>
            </w:r>
          </w:p>
        </w:tc>
      </w:tr>
      <w:tr w14:paraId="5B453019">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14:paraId="1931FFB1">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豆 类</w:t>
            </w:r>
          </w:p>
        </w:tc>
        <w:tc>
          <w:tcPr>
            <w:tcW w:w="2693" w:type="dxa"/>
            <w:tcBorders>
              <w:tl2br w:val="nil"/>
              <w:tr2bl w:val="nil"/>
            </w:tcBorders>
            <w:noWrap w:val="0"/>
            <w:vAlign w:val="center"/>
          </w:tcPr>
          <w:p w14:paraId="425C18EE">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7911</w:t>
            </w:r>
          </w:p>
        </w:tc>
        <w:tc>
          <w:tcPr>
            <w:tcW w:w="2694" w:type="dxa"/>
            <w:tcBorders>
              <w:tl2br w:val="nil"/>
              <w:tr2bl w:val="nil"/>
            </w:tcBorders>
            <w:noWrap w:val="0"/>
            <w:vAlign w:val="center"/>
          </w:tcPr>
          <w:p w14:paraId="728AC9DE">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-15.5</w:t>
            </w:r>
          </w:p>
        </w:tc>
      </w:tr>
      <w:tr w14:paraId="07C43A13">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14:paraId="7D8B6588">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薯 类</w:t>
            </w:r>
          </w:p>
        </w:tc>
        <w:tc>
          <w:tcPr>
            <w:tcW w:w="2693" w:type="dxa"/>
            <w:tcBorders>
              <w:tl2br w:val="nil"/>
              <w:tr2bl w:val="nil"/>
            </w:tcBorders>
            <w:noWrap w:val="0"/>
            <w:vAlign w:val="center"/>
          </w:tcPr>
          <w:p w14:paraId="36E19602">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11052</w:t>
            </w:r>
          </w:p>
        </w:tc>
        <w:tc>
          <w:tcPr>
            <w:tcW w:w="2694" w:type="dxa"/>
            <w:tcBorders>
              <w:tl2br w:val="nil"/>
              <w:tr2bl w:val="nil"/>
            </w:tcBorders>
            <w:noWrap w:val="0"/>
            <w:vAlign w:val="center"/>
          </w:tcPr>
          <w:p w14:paraId="00751D1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-31.8</w:t>
            </w:r>
          </w:p>
        </w:tc>
      </w:tr>
      <w:tr w14:paraId="372214DE">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14:paraId="479A9EEA">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经济作物</w:t>
            </w:r>
          </w:p>
        </w:tc>
        <w:tc>
          <w:tcPr>
            <w:tcW w:w="2693" w:type="dxa"/>
            <w:tcBorders>
              <w:tl2br w:val="nil"/>
              <w:tr2bl w:val="nil"/>
            </w:tcBorders>
            <w:noWrap w:val="0"/>
            <w:vAlign w:val="center"/>
          </w:tcPr>
          <w:p w14:paraId="20496507">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22969</w:t>
            </w:r>
          </w:p>
        </w:tc>
        <w:tc>
          <w:tcPr>
            <w:tcW w:w="2694" w:type="dxa"/>
            <w:tcBorders>
              <w:tl2br w:val="nil"/>
              <w:tr2bl w:val="nil"/>
            </w:tcBorders>
            <w:noWrap w:val="0"/>
            <w:vAlign w:val="center"/>
          </w:tcPr>
          <w:p w14:paraId="4D7D5246">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w:t>
            </w:r>
          </w:p>
        </w:tc>
      </w:tr>
      <w:tr w14:paraId="5FFF02FB">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14:paraId="23A8DA71">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油 料</w:t>
            </w:r>
          </w:p>
        </w:tc>
        <w:tc>
          <w:tcPr>
            <w:tcW w:w="2693" w:type="dxa"/>
            <w:tcBorders>
              <w:tl2br w:val="nil"/>
              <w:tr2bl w:val="nil"/>
            </w:tcBorders>
            <w:noWrap w:val="0"/>
            <w:vAlign w:val="center"/>
          </w:tcPr>
          <w:p w14:paraId="0A2B19AA">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673</w:t>
            </w:r>
          </w:p>
        </w:tc>
        <w:tc>
          <w:tcPr>
            <w:tcW w:w="2694" w:type="dxa"/>
            <w:tcBorders>
              <w:tl2br w:val="nil"/>
              <w:tr2bl w:val="nil"/>
            </w:tcBorders>
            <w:noWrap w:val="0"/>
            <w:vAlign w:val="center"/>
          </w:tcPr>
          <w:p w14:paraId="5F2F6A06">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-16.2</w:t>
            </w:r>
          </w:p>
        </w:tc>
      </w:tr>
      <w:tr w14:paraId="5D056DAA">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14:paraId="4C747F9E">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棉 花</w:t>
            </w:r>
          </w:p>
        </w:tc>
        <w:tc>
          <w:tcPr>
            <w:tcW w:w="2693" w:type="dxa"/>
            <w:tcBorders>
              <w:tl2br w:val="nil"/>
              <w:tr2bl w:val="nil"/>
            </w:tcBorders>
            <w:noWrap w:val="0"/>
            <w:vAlign w:val="center"/>
          </w:tcPr>
          <w:p w14:paraId="3F5263F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16</w:t>
            </w:r>
          </w:p>
        </w:tc>
        <w:tc>
          <w:tcPr>
            <w:tcW w:w="2694" w:type="dxa"/>
            <w:tcBorders>
              <w:tl2br w:val="nil"/>
              <w:tr2bl w:val="nil"/>
            </w:tcBorders>
            <w:noWrap w:val="0"/>
            <w:vAlign w:val="center"/>
          </w:tcPr>
          <w:p w14:paraId="21764CE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w:t>
            </w:r>
          </w:p>
        </w:tc>
      </w:tr>
      <w:tr w14:paraId="14CB3F2A">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14:paraId="1461D695">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蔬菜及食用菌</w:t>
            </w:r>
          </w:p>
        </w:tc>
        <w:tc>
          <w:tcPr>
            <w:tcW w:w="2693" w:type="dxa"/>
            <w:tcBorders>
              <w:tl2br w:val="nil"/>
              <w:tr2bl w:val="nil"/>
            </w:tcBorders>
            <w:noWrap w:val="0"/>
            <w:vAlign w:val="center"/>
          </w:tcPr>
          <w:p w14:paraId="1A190435">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17504</w:t>
            </w:r>
          </w:p>
        </w:tc>
        <w:tc>
          <w:tcPr>
            <w:tcW w:w="2694" w:type="dxa"/>
            <w:tcBorders>
              <w:tl2br w:val="nil"/>
              <w:tr2bl w:val="nil"/>
            </w:tcBorders>
            <w:noWrap w:val="0"/>
            <w:vAlign w:val="center"/>
          </w:tcPr>
          <w:p w14:paraId="0171CE9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-4.1</w:t>
            </w:r>
          </w:p>
        </w:tc>
      </w:tr>
      <w:tr w14:paraId="6195A5E1">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14:paraId="2DF18E3A">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瓜果类</w:t>
            </w:r>
          </w:p>
        </w:tc>
        <w:tc>
          <w:tcPr>
            <w:tcW w:w="2693" w:type="dxa"/>
            <w:tcBorders>
              <w:tl2br w:val="nil"/>
              <w:tr2bl w:val="nil"/>
            </w:tcBorders>
            <w:noWrap w:val="0"/>
            <w:vAlign w:val="center"/>
          </w:tcPr>
          <w:p w14:paraId="393404CB">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4775</w:t>
            </w:r>
          </w:p>
        </w:tc>
        <w:tc>
          <w:tcPr>
            <w:tcW w:w="2694" w:type="dxa"/>
            <w:tcBorders>
              <w:tl2br w:val="nil"/>
              <w:tr2bl w:val="nil"/>
            </w:tcBorders>
            <w:noWrap w:val="0"/>
            <w:vAlign w:val="center"/>
          </w:tcPr>
          <w:p w14:paraId="4CA39F5A">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70.7</w:t>
            </w:r>
          </w:p>
        </w:tc>
      </w:tr>
      <w:tr w14:paraId="70D8F5D0">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14:paraId="78744C51">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eastAsia="zh-CN" w:bidi="ar"/>
              </w:rPr>
              <w:t>茶叶水果</w:t>
            </w:r>
          </w:p>
        </w:tc>
        <w:tc>
          <w:tcPr>
            <w:tcW w:w="2693" w:type="dxa"/>
            <w:tcBorders>
              <w:tl2br w:val="nil"/>
              <w:tr2bl w:val="nil"/>
            </w:tcBorders>
            <w:noWrap w:val="0"/>
            <w:vAlign w:val="center"/>
          </w:tcPr>
          <w:p w14:paraId="33DFDCDE">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4883</w:t>
            </w:r>
          </w:p>
        </w:tc>
        <w:tc>
          <w:tcPr>
            <w:tcW w:w="2694" w:type="dxa"/>
            <w:tcBorders>
              <w:tl2br w:val="nil"/>
              <w:tr2bl w:val="nil"/>
            </w:tcBorders>
            <w:noWrap w:val="0"/>
            <w:vAlign w:val="center"/>
          </w:tcPr>
          <w:p w14:paraId="12957802">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40</w:t>
            </w:r>
          </w:p>
        </w:tc>
      </w:tr>
      <w:tr w14:paraId="294FB504">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14:paraId="6662A8E0">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园林水果</w:t>
            </w:r>
          </w:p>
        </w:tc>
        <w:tc>
          <w:tcPr>
            <w:tcW w:w="2693" w:type="dxa"/>
            <w:tcBorders>
              <w:tl2br w:val="nil"/>
              <w:tr2bl w:val="nil"/>
            </w:tcBorders>
            <w:noWrap w:val="0"/>
            <w:vAlign w:val="center"/>
          </w:tcPr>
          <w:p w14:paraId="1FDD5B0C">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3305</w:t>
            </w:r>
          </w:p>
        </w:tc>
        <w:tc>
          <w:tcPr>
            <w:tcW w:w="2694" w:type="dxa"/>
            <w:tcBorders>
              <w:tl2br w:val="nil"/>
              <w:tr2bl w:val="nil"/>
            </w:tcBorders>
            <w:noWrap w:val="0"/>
            <w:vAlign w:val="center"/>
          </w:tcPr>
          <w:p w14:paraId="7539F99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18.6</w:t>
            </w:r>
          </w:p>
        </w:tc>
      </w:tr>
      <w:tr w14:paraId="2F6ED578">
        <w:tblPrEx>
          <w:tblBorders>
            <w:top w:val="single" w:color="auto" w:sz="12" w:space="0"/>
            <w:left w:val="none" w:color="auto" w:sz="0" w:space="0"/>
            <w:bottom w:val="single" w:color="auto" w:sz="12" w:space="0"/>
            <w:right w:val="none" w:color="auto" w:sz="0" w:space="0"/>
            <w:insideH w:val="none" w:color="auto" w:sz="0" w:space="0"/>
            <w:insideV w:val="single" w:color="000000" w:sz="12" w:space="0"/>
          </w:tblBorders>
          <w:tblCellMar>
            <w:top w:w="0" w:type="dxa"/>
            <w:left w:w="108" w:type="dxa"/>
            <w:bottom w:w="0" w:type="dxa"/>
            <w:right w:w="108" w:type="dxa"/>
          </w:tblCellMar>
        </w:tblPrEx>
        <w:trPr>
          <w:trHeight w:val="680" w:hRule="exact"/>
        </w:trPr>
        <w:tc>
          <w:tcPr>
            <w:tcW w:w="3031" w:type="dxa"/>
            <w:tcBorders>
              <w:tl2br w:val="nil"/>
              <w:tr2bl w:val="nil"/>
            </w:tcBorders>
            <w:noWrap w:val="0"/>
            <w:vAlign w:val="center"/>
          </w:tcPr>
          <w:p w14:paraId="01900472">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核 桃</w:t>
            </w:r>
          </w:p>
        </w:tc>
        <w:tc>
          <w:tcPr>
            <w:tcW w:w="2693" w:type="dxa"/>
            <w:tcBorders>
              <w:tl2br w:val="nil"/>
              <w:tr2bl w:val="nil"/>
            </w:tcBorders>
            <w:noWrap w:val="0"/>
            <w:vAlign w:val="center"/>
          </w:tcPr>
          <w:p w14:paraId="685EE69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1577</w:t>
            </w:r>
          </w:p>
        </w:tc>
        <w:tc>
          <w:tcPr>
            <w:tcW w:w="2694" w:type="dxa"/>
            <w:tcBorders>
              <w:tl2br w:val="nil"/>
              <w:tr2bl w:val="nil"/>
            </w:tcBorders>
            <w:noWrap w:val="0"/>
            <w:vAlign w:val="center"/>
          </w:tcPr>
          <w:p w14:paraId="432DA176">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131.6</w:t>
            </w:r>
          </w:p>
        </w:tc>
      </w:tr>
    </w:tbl>
    <w:p w14:paraId="53A085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333333"/>
          <w:sz w:val="24"/>
          <w:szCs w:val="24"/>
          <w:shd w:val="clear" w:fill="FFFFFF"/>
        </w:rPr>
      </w:pPr>
      <w:r>
        <w:rPr>
          <w:rFonts w:hint="eastAsia" w:asciiTheme="minorEastAsia" w:hAnsiTheme="minorEastAsia" w:eastAsiaTheme="minorEastAsia" w:cstheme="minorEastAsia"/>
          <w:color w:val="333333"/>
          <w:sz w:val="24"/>
          <w:szCs w:val="24"/>
          <w:shd w:val="clear" w:fill="FFFFFF"/>
        </w:rPr>
        <w:t>全年全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猪牛羊肉总产量</w:t>
      </w:r>
      <w:r>
        <w:rPr>
          <w:rFonts w:hint="eastAsia" w:asciiTheme="minorEastAsia" w:hAnsiTheme="minorEastAsia" w:eastAsiaTheme="minorEastAsia" w:cstheme="minorEastAsia"/>
          <w:color w:val="333333"/>
          <w:sz w:val="24"/>
          <w:szCs w:val="24"/>
          <w:shd w:val="clear" w:fill="FFFFFF"/>
          <w:lang w:val="en-US" w:eastAsia="zh-CN"/>
        </w:rPr>
        <w:t>5983.2</w:t>
      </w:r>
      <w:r>
        <w:rPr>
          <w:rFonts w:hint="eastAsia" w:asciiTheme="minorEastAsia" w:hAnsiTheme="minorEastAsia" w:eastAsiaTheme="minorEastAsia" w:cstheme="minorEastAsia"/>
          <w:color w:val="333333"/>
          <w:sz w:val="24"/>
          <w:szCs w:val="24"/>
          <w:shd w:val="clear" w:fill="FFFFFF"/>
        </w:rPr>
        <w:t>吨，同比</w:t>
      </w:r>
      <w:r>
        <w:rPr>
          <w:rFonts w:hint="eastAsia" w:asciiTheme="minorEastAsia" w:hAnsiTheme="minorEastAsia" w:eastAsiaTheme="minorEastAsia" w:cstheme="minorEastAsia"/>
          <w:color w:val="333333"/>
          <w:sz w:val="24"/>
          <w:szCs w:val="24"/>
          <w:shd w:val="clear" w:fill="FFFFFF"/>
          <w:lang w:eastAsia="zh-CN"/>
        </w:rPr>
        <w:t>增长</w:t>
      </w:r>
      <w:r>
        <w:rPr>
          <w:rFonts w:hint="eastAsia" w:asciiTheme="minorEastAsia" w:hAnsiTheme="minorEastAsia" w:eastAsiaTheme="minorEastAsia" w:cstheme="minorEastAsia"/>
          <w:color w:val="333333"/>
          <w:sz w:val="24"/>
          <w:szCs w:val="24"/>
          <w:shd w:val="clear" w:fill="FFFFFF"/>
          <w:lang w:val="en-US" w:eastAsia="zh-CN"/>
        </w:rPr>
        <w:t>12.8</w:t>
      </w:r>
      <w:r>
        <w:rPr>
          <w:rFonts w:hint="eastAsia" w:asciiTheme="minorEastAsia" w:hAnsiTheme="minorEastAsia" w:eastAsiaTheme="minorEastAsia" w:cstheme="minorEastAsia"/>
          <w:color w:val="333333"/>
          <w:sz w:val="24"/>
          <w:szCs w:val="24"/>
          <w:shd w:val="clear" w:fill="FFFFFF"/>
        </w:rPr>
        <w:t>%。其中，猪肉产量</w:t>
      </w:r>
      <w:r>
        <w:rPr>
          <w:rFonts w:hint="eastAsia" w:asciiTheme="minorEastAsia" w:hAnsiTheme="minorEastAsia" w:eastAsiaTheme="minorEastAsia" w:cstheme="minorEastAsia"/>
          <w:color w:val="333333"/>
          <w:sz w:val="24"/>
          <w:szCs w:val="24"/>
          <w:shd w:val="clear" w:fill="FFFFFF"/>
          <w:lang w:val="en-US" w:eastAsia="zh-CN"/>
        </w:rPr>
        <w:t>5327</w:t>
      </w:r>
      <w:r>
        <w:rPr>
          <w:rFonts w:hint="eastAsia" w:asciiTheme="minorEastAsia" w:hAnsiTheme="minorEastAsia" w:eastAsiaTheme="minorEastAsia" w:cstheme="minorEastAsia"/>
          <w:color w:val="333333"/>
          <w:sz w:val="24"/>
          <w:szCs w:val="24"/>
          <w:shd w:val="clear" w:fill="FFFFFF"/>
        </w:rPr>
        <w:t>吨，同比增</w:t>
      </w:r>
      <w:r>
        <w:rPr>
          <w:rFonts w:hint="eastAsia" w:asciiTheme="minorEastAsia" w:hAnsiTheme="minorEastAsia" w:eastAsiaTheme="minorEastAsia" w:cstheme="minorEastAsia"/>
          <w:color w:val="333333"/>
          <w:sz w:val="24"/>
          <w:szCs w:val="24"/>
          <w:shd w:val="clear" w:fill="FFFFFF"/>
          <w:lang w:eastAsia="zh-CN"/>
        </w:rPr>
        <w:t>长</w:t>
      </w:r>
      <w:r>
        <w:rPr>
          <w:rFonts w:hint="eastAsia" w:asciiTheme="minorEastAsia" w:hAnsiTheme="minorEastAsia" w:eastAsiaTheme="minorEastAsia" w:cstheme="minorEastAsia"/>
          <w:color w:val="333333"/>
          <w:sz w:val="24"/>
          <w:szCs w:val="24"/>
          <w:shd w:val="clear" w:fill="FFFFFF"/>
          <w:lang w:val="en-US" w:eastAsia="zh-CN"/>
        </w:rPr>
        <w:t>14.66</w:t>
      </w:r>
      <w:r>
        <w:rPr>
          <w:rFonts w:hint="eastAsia" w:asciiTheme="minorEastAsia" w:hAnsiTheme="minorEastAsia" w:eastAsiaTheme="minorEastAsia" w:cstheme="minorEastAsia"/>
          <w:color w:val="333333"/>
          <w:sz w:val="24"/>
          <w:szCs w:val="24"/>
          <w:shd w:val="clear" w:fill="FFFFFF"/>
        </w:rPr>
        <w:t>%；牛肉产量</w:t>
      </w:r>
      <w:r>
        <w:rPr>
          <w:rFonts w:hint="eastAsia" w:asciiTheme="minorEastAsia" w:hAnsiTheme="minorEastAsia" w:eastAsiaTheme="minorEastAsia" w:cstheme="minorEastAsia"/>
          <w:color w:val="333333"/>
          <w:sz w:val="24"/>
          <w:szCs w:val="24"/>
          <w:shd w:val="clear" w:fill="FFFFFF"/>
          <w:lang w:val="en-US" w:eastAsia="zh-CN"/>
        </w:rPr>
        <w:t xml:space="preserve"> 114.5</w:t>
      </w:r>
      <w:r>
        <w:rPr>
          <w:rFonts w:hint="eastAsia" w:asciiTheme="minorEastAsia" w:hAnsiTheme="minorEastAsia" w:eastAsiaTheme="minorEastAsia" w:cstheme="minorEastAsia"/>
          <w:color w:val="333333"/>
          <w:sz w:val="24"/>
          <w:szCs w:val="24"/>
          <w:shd w:val="clear" w:fill="FFFFFF"/>
        </w:rPr>
        <w:t>吨，同比下降</w:t>
      </w:r>
      <w:r>
        <w:rPr>
          <w:rFonts w:hint="eastAsia" w:asciiTheme="minorEastAsia" w:hAnsiTheme="minorEastAsia" w:eastAsiaTheme="minorEastAsia" w:cstheme="minorEastAsia"/>
          <w:color w:val="333333"/>
          <w:sz w:val="24"/>
          <w:szCs w:val="24"/>
          <w:shd w:val="clear" w:fill="FFFFFF"/>
          <w:lang w:val="en-US" w:eastAsia="zh-CN"/>
        </w:rPr>
        <w:t>21.03</w:t>
      </w:r>
      <w:r>
        <w:rPr>
          <w:rFonts w:hint="eastAsia" w:asciiTheme="minorEastAsia" w:hAnsiTheme="minorEastAsia" w:eastAsiaTheme="minorEastAsia" w:cstheme="minorEastAsia"/>
          <w:color w:val="333333"/>
          <w:sz w:val="24"/>
          <w:szCs w:val="24"/>
          <w:shd w:val="clear" w:fill="FFFFFF"/>
        </w:rPr>
        <w:t>%；羊肉产量</w:t>
      </w:r>
      <w:r>
        <w:rPr>
          <w:rFonts w:hint="eastAsia" w:asciiTheme="minorEastAsia" w:hAnsiTheme="minorEastAsia" w:eastAsiaTheme="minorEastAsia" w:cstheme="minorEastAsia"/>
          <w:color w:val="333333"/>
          <w:sz w:val="24"/>
          <w:szCs w:val="24"/>
          <w:shd w:val="clear" w:fill="FFFFFF"/>
          <w:lang w:val="en-US" w:eastAsia="zh-CN"/>
        </w:rPr>
        <w:t xml:space="preserve"> 541.7</w:t>
      </w:r>
      <w:r>
        <w:rPr>
          <w:rFonts w:hint="eastAsia" w:asciiTheme="minorEastAsia" w:hAnsiTheme="minorEastAsia" w:eastAsiaTheme="minorEastAsia" w:cstheme="minorEastAsia"/>
          <w:color w:val="333333"/>
          <w:sz w:val="24"/>
          <w:szCs w:val="24"/>
          <w:shd w:val="clear" w:fill="FFFFFF"/>
        </w:rPr>
        <w:t>吨，同比</w:t>
      </w:r>
      <w:r>
        <w:rPr>
          <w:rFonts w:hint="eastAsia" w:asciiTheme="minorEastAsia" w:hAnsiTheme="minorEastAsia" w:eastAsiaTheme="minorEastAsia" w:cstheme="minorEastAsia"/>
          <w:color w:val="333333"/>
          <w:sz w:val="24"/>
          <w:szCs w:val="24"/>
          <w:shd w:val="clear" w:fill="FFFFFF"/>
          <w:lang w:eastAsia="zh-CN"/>
        </w:rPr>
        <w:t>增长</w:t>
      </w:r>
      <w:r>
        <w:rPr>
          <w:rFonts w:hint="eastAsia" w:asciiTheme="minorEastAsia" w:hAnsiTheme="minorEastAsia" w:eastAsiaTheme="minorEastAsia" w:cstheme="minorEastAsia"/>
          <w:color w:val="333333"/>
          <w:sz w:val="24"/>
          <w:szCs w:val="24"/>
          <w:shd w:val="clear" w:fill="FFFFFF"/>
          <w:lang w:val="en-US" w:eastAsia="zh-CN"/>
        </w:rPr>
        <w:t>5.64</w:t>
      </w:r>
      <w:r>
        <w:rPr>
          <w:rFonts w:hint="eastAsia" w:asciiTheme="minorEastAsia" w:hAnsiTheme="minorEastAsia" w:eastAsiaTheme="minorEastAsia" w:cstheme="minorEastAsia"/>
          <w:color w:val="333333"/>
          <w:sz w:val="24"/>
          <w:szCs w:val="24"/>
          <w:shd w:val="clear" w:fill="FFFFFF"/>
        </w:rPr>
        <w:t>%。</w:t>
      </w:r>
    </w:p>
    <w:p w14:paraId="766B3E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shd w:val="clear" w:fill="FFFFFF"/>
          <w:lang w:val="en-US" w:eastAsia="zh-CN"/>
        </w:rPr>
      </w:pPr>
      <w:r>
        <w:rPr>
          <w:rFonts w:hint="eastAsia" w:asciiTheme="minorEastAsia" w:hAnsiTheme="minorEastAsia" w:eastAsiaTheme="minorEastAsia" w:cstheme="minorEastAsia"/>
          <w:color w:val="auto"/>
          <w:sz w:val="24"/>
          <w:szCs w:val="24"/>
          <w:shd w:val="clear" w:fill="FFFFFF"/>
          <w:lang w:val="en-US" w:eastAsia="zh-CN"/>
        </w:rPr>
        <w:t>全年完成造林2.25万亩，全县森林覆盖率36.15％。</w:t>
      </w:r>
    </w:p>
    <w:p w14:paraId="6F64A1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年末生猪存栏</w:t>
      </w:r>
      <w:r>
        <w:rPr>
          <w:rFonts w:hint="eastAsia" w:asciiTheme="minorEastAsia" w:hAnsiTheme="minorEastAsia" w:eastAsiaTheme="minorEastAsia" w:cstheme="minorEastAsia"/>
          <w:color w:val="auto"/>
          <w:sz w:val="24"/>
          <w:szCs w:val="24"/>
          <w:shd w:val="clear" w:fill="FFFFFF"/>
          <w:lang w:val="en-US" w:eastAsia="zh-CN"/>
        </w:rPr>
        <w:t xml:space="preserve"> 51907 </w:t>
      </w:r>
      <w:r>
        <w:rPr>
          <w:rFonts w:hint="eastAsia" w:asciiTheme="minorEastAsia" w:hAnsiTheme="minorEastAsia" w:eastAsiaTheme="minorEastAsia" w:cstheme="minorEastAsia"/>
          <w:color w:val="auto"/>
          <w:sz w:val="24"/>
          <w:szCs w:val="24"/>
          <w:shd w:val="clear" w:fill="FFFFFF"/>
        </w:rPr>
        <w:t>头，</w:t>
      </w:r>
      <w:r>
        <w:rPr>
          <w:rFonts w:hint="eastAsia" w:asciiTheme="minorEastAsia" w:hAnsiTheme="minorEastAsia" w:eastAsiaTheme="minorEastAsia" w:cstheme="minorEastAsia"/>
          <w:color w:val="auto"/>
          <w:sz w:val="24"/>
          <w:szCs w:val="24"/>
          <w:shd w:val="clear" w:fill="FFFFFF"/>
          <w:lang w:eastAsia="zh-CN"/>
        </w:rPr>
        <w:t>比上年增长</w:t>
      </w:r>
      <w:r>
        <w:rPr>
          <w:rFonts w:hint="eastAsia" w:asciiTheme="minorEastAsia" w:hAnsiTheme="minorEastAsia" w:eastAsiaTheme="minorEastAsia" w:cstheme="minorEastAsia"/>
          <w:color w:val="auto"/>
          <w:sz w:val="24"/>
          <w:szCs w:val="24"/>
          <w:shd w:val="clear" w:fill="FFFFFF"/>
          <w:lang w:val="en-US" w:eastAsia="zh-CN"/>
        </w:rPr>
        <w:t>15.84</w:t>
      </w:r>
      <w:r>
        <w:rPr>
          <w:rFonts w:hint="eastAsia" w:asciiTheme="minorEastAsia" w:hAnsiTheme="minorEastAsia" w:eastAsiaTheme="minorEastAsia" w:cstheme="minorEastAsia"/>
          <w:color w:val="auto"/>
          <w:sz w:val="24"/>
          <w:szCs w:val="24"/>
          <w:shd w:val="clear" w:fill="FFFFFF"/>
          <w:lang w:eastAsia="zh-CN"/>
        </w:rPr>
        <w:t>％；</w:t>
      </w:r>
      <w:r>
        <w:rPr>
          <w:rFonts w:hint="eastAsia" w:asciiTheme="minorEastAsia" w:hAnsiTheme="minorEastAsia" w:eastAsiaTheme="minorEastAsia" w:cstheme="minorEastAsia"/>
          <w:color w:val="auto"/>
          <w:sz w:val="24"/>
          <w:szCs w:val="24"/>
          <w:shd w:val="clear" w:fill="FFFFFF"/>
        </w:rPr>
        <w:t>生猪出栏</w:t>
      </w:r>
      <w:r>
        <w:rPr>
          <w:rFonts w:hint="eastAsia" w:asciiTheme="minorEastAsia" w:hAnsiTheme="minorEastAsia" w:eastAsiaTheme="minorEastAsia" w:cstheme="minorEastAsia"/>
          <w:color w:val="auto"/>
          <w:sz w:val="24"/>
          <w:szCs w:val="24"/>
          <w:shd w:val="clear" w:fill="FFFFFF"/>
          <w:lang w:val="en-US" w:eastAsia="zh-CN"/>
        </w:rPr>
        <w:t>63397</w:t>
      </w:r>
      <w:r>
        <w:rPr>
          <w:rFonts w:hint="eastAsia" w:asciiTheme="minorEastAsia" w:hAnsiTheme="minorEastAsia" w:eastAsiaTheme="minorEastAsia" w:cstheme="minorEastAsia"/>
          <w:color w:val="auto"/>
          <w:sz w:val="24"/>
          <w:szCs w:val="24"/>
          <w:shd w:val="clear" w:fill="FFFFFF"/>
        </w:rPr>
        <w:t>头</w:t>
      </w:r>
      <w:r>
        <w:rPr>
          <w:rFonts w:hint="eastAsia" w:asciiTheme="minorEastAsia" w:hAnsiTheme="minorEastAsia" w:eastAsiaTheme="minorEastAsia" w:cstheme="minorEastAsia"/>
          <w:color w:val="auto"/>
          <w:sz w:val="24"/>
          <w:szCs w:val="24"/>
          <w:shd w:val="clear" w:fill="FFFFFF"/>
          <w:lang w:eastAsia="zh-CN"/>
        </w:rPr>
        <w:t>，比上年增长</w:t>
      </w:r>
      <w:r>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t>9.13</w:t>
      </w:r>
      <w:r>
        <w:rPr>
          <w:rFonts w:hint="eastAsia" w:asciiTheme="minorEastAsia" w:hAnsiTheme="minorEastAsia" w:eastAsiaTheme="minorEastAsia" w:cstheme="minorEastAsia"/>
          <w:color w:val="auto"/>
          <w:sz w:val="24"/>
          <w:szCs w:val="24"/>
          <w:shd w:val="clear" w:fill="FFFFFF"/>
          <w:lang w:eastAsia="zh-CN"/>
        </w:rPr>
        <w:t>％。羊存栏</w:t>
      </w:r>
      <w:r>
        <w:rPr>
          <w:rFonts w:hint="eastAsia" w:asciiTheme="minorEastAsia" w:hAnsiTheme="minorEastAsia" w:eastAsiaTheme="minorEastAsia" w:cstheme="minorEastAsia"/>
          <w:color w:val="auto"/>
          <w:sz w:val="24"/>
          <w:szCs w:val="24"/>
          <w:shd w:val="clear" w:fill="FFFFFF"/>
          <w:lang w:val="en-US" w:eastAsia="zh-CN"/>
        </w:rPr>
        <w:t>59694</w:t>
      </w:r>
      <w:r>
        <w:rPr>
          <w:rFonts w:hint="eastAsia" w:asciiTheme="minorEastAsia" w:hAnsiTheme="minorEastAsia" w:eastAsiaTheme="minorEastAsia" w:cstheme="minorEastAsia"/>
          <w:color w:val="auto"/>
          <w:sz w:val="24"/>
          <w:szCs w:val="24"/>
          <w:shd w:val="clear" w:fill="FFFFFF"/>
          <w:lang w:eastAsia="zh-CN"/>
        </w:rPr>
        <w:t>头，比上年增长</w:t>
      </w:r>
      <w:r>
        <w:rPr>
          <w:rFonts w:hint="eastAsia" w:asciiTheme="minorEastAsia" w:hAnsiTheme="minorEastAsia" w:eastAsiaTheme="minorEastAsia" w:cstheme="minorEastAsia"/>
          <w:color w:val="auto"/>
          <w:sz w:val="24"/>
          <w:szCs w:val="24"/>
          <w:shd w:val="clear" w:fill="FFFFFF"/>
          <w:lang w:val="en-US" w:eastAsia="zh-CN"/>
        </w:rPr>
        <w:t>35.98</w:t>
      </w:r>
      <w:r>
        <w:rPr>
          <w:rFonts w:hint="eastAsia" w:asciiTheme="minorEastAsia" w:hAnsiTheme="minorEastAsia" w:eastAsiaTheme="minorEastAsia" w:cstheme="minorEastAsia"/>
          <w:color w:val="auto"/>
          <w:sz w:val="24"/>
          <w:szCs w:val="24"/>
          <w:shd w:val="clear" w:fill="FFFFFF"/>
          <w:lang w:eastAsia="zh-CN"/>
        </w:rPr>
        <w:t>％；羊出栏</w:t>
      </w:r>
      <w:r>
        <w:rPr>
          <w:rFonts w:hint="eastAsia" w:asciiTheme="minorEastAsia" w:hAnsiTheme="minorEastAsia" w:eastAsiaTheme="minorEastAsia" w:cstheme="minorEastAsia"/>
          <w:color w:val="auto"/>
          <w:sz w:val="24"/>
          <w:szCs w:val="24"/>
          <w:shd w:val="clear" w:fill="FFFFFF"/>
          <w:lang w:val="en-US" w:eastAsia="zh-CN"/>
        </w:rPr>
        <w:t>36185</w:t>
      </w:r>
      <w:r>
        <w:rPr>
          <w:rFonts w:hint="eastAsia" w:asciiTheme="minorEastAsia" w:hAnsiTheme="minorEastAsia" w:eastAsiaTheme="minorEastAsia" w:cstheme="minorEastAsia"/>
          <w:color w:val="auto"/>
          <w:sz w:val="24"/>
          <w:szCs w:val="24"/>
          <w:shd w:val="clear" w:fill="FFFFFF"/>
          <w:lang w:eastAsia="zh-CN"/>
        </w:rPr>
        <w:t>头，比上年增长</w:t>
      </w:r>
      <w:r>
        <w:rPr>
          <w:rFonts w:hint="eastAsia" w:asciiTheme="minorEastAsia" w:hAnsiTheme="minorEastAsia" w:eastAsiaTheme="minorEastAsia" w:cstheme="minorEastAsia"/>
          <w:color w:val="auto"/>
          <w:sz w:val="24"/>
          <w:szCs w:val="24"/>
          <w:shd w:val="clear" w:fill="FFFFFF"/>
          <w:lang w:val="en-US" w:eastAsia="zh-CN"/>
        </w:rPr>
        <w:t>6.93</w:t>
      </w:r>
      <w:r>
        <w:rPr>
          <w:rFonts w:hint="eastAsia" w:asciiTheme="minorEastAsia" w:hAnsiTheme="minorEastAsia" w:eastAsiaTheme="minorEastAsia" w:cstheme="minorEastAsia"/>
          <w:color w:val="auto"/>
          <w:sz w:val="24"/>
          <w:szCs w:val="24"/>
          <w:shd w:val="clear" w:fill="FFFFFF"/>
          <w:lang w:eastAsia="zh-CN"/>
        </w:rPr>
        <w:t>％；</w:t>
      </w:r>
      <w:r>
        <w:rPr>
          <w:rFonts w:hint="eastAsia" w:asciiTheme="minorEastAsia" w:hAnsiTheme="minorEastAsia" w:eastAsiaTheme="minorEastAsia" w:cstheme="minorEastAsia"/>
          <w:color w:val="auto"/>
          <w:sz w:val="24"/>
          <w:szCs w:val="24"/>
          <w:shd w:val="clear" w:fill="FFFFFF"/>
        </w:rPr>
        <w:t>牛奶产量</w:t>
      </w:r>
      <w:r>
        <w:rPr>
          <w:rFonts w:hint="eastAsia" w:asciiTheme="minorEastAsia" w:hAnsiTheme="minorEastAsia" w:eastAsiaTheme="minorEastAsia" w:cstheme="minorEastAsia"/>
          <w:color w:val="auto"/>
          <w:sz w:val="24"/>
          <w:szCs w:val="24"/>
          <w:shd w:val="clear" w:fill="FFFFFF"/>
          <w:lang w:val="en-US" w:eastAsia="zh-CN"/>
        </w:rPr>
        <w:t>1524</w:t>
      </w:r>
      <w:r>
        <w:rPr>
          <w:rFonts w:hint="eastAsia" w:asciiTheme="minorEastAsia" w:hAnsiTheme="minorEastAsia" w:eastAsiaTheme="minorEastAsia" w:cstheme="minorEastAsia"/>
          <w:color w:val="auto"/>
          <w:sz w:val="24"/>
          <w:szCs w:val="24"/>
          <w:shd w:val="clear" w:fill="FFFFFF"/>
        </w:rPr>
        <w:t>吨，同比增长</w:t>
      </w:r>
      <w:r>
        <w:rPr>
          <w:rFonts w:hint="eastAsia" w:asciiTheme="minorEastAsia" w:hAnsiTheme="minorEastAsia" w:eastAsiaTheme="minorEastAsia" w:cstheme="minorEastAsia"/>
          <w:color w:val="auto"/>
          <w:sz w:val="24"/>
          <w:szCs w:val="24"/>
          <w:shd w:val="clear" w:fill="FFFFFF"/>
          <w:lang w:val="en-US" w:eastAsia="zh-CN"/>
        </w:rPr>
        <w:t>11.65</w:t>
      </w:r>
      <w:r>
        <w:rPr>
          <w:rFonts w:hint="eastAsia" w:asciiTheme="minorEastAsia" w:hAnsiTheme="minorEastAsia" w:eastAsiaTheme="minorEastAsia" w:cstheme="minorEastAsia"/>
          <w:color w:val="auto"/>
          <w:sz w:val="24"/>
          <w:szCs w:val="24"/>
          <w:shd w:val="clear" w:fill="FFFFFF"/>
        </w:rPr>
        <w:t>%。禽蛋产量</w:t>
      </w:r>
      <w:r>
        <w:rPr>
          <w:rFonts w:hint="eastAsia" w:asciiTheme="minorEastAsia" w:hAnsiTheme="minorEastAsia" w:eastAsiaTheme="minorEastAsia" w:cstheme="minorEastAsia"/>
          <w:color w:val="auto"/>
          <w:sz w:val="24"/>
          <w:szCs w:val="24"/>
          <w:shd w:val="clear" w:fill="FFFFFF"/>
          <w:lang w:val="en-US" w:eastAsia="zh-CN"/>
        </w:rPr>
        <w:t>2793</w:t>
      </w:r>
      <w:r>
        <w:rPr>
          <w:rFonts w:hint="eastAsia" w:asciiTheme="minorEastAsia" w:hAnsiTheme="minorEastAsia" w:eastAsiaTheme="minorEastAsia" w:cstheme="minorEastAsia"/>
          <w:color w:val="auto"/>
          <w:sz w:val="24"/>
          <w:szCs w:val="24"/>
          <w:shd w:val="clear" w:fill="FFFFFF"/>
        </w:rPr>
        <w:t>吨，同比</w:t>
      </w:r>
      <w:r>
        <w:rPr>
          <w:rFonts w:hint="eastAsia" w:asciiTheme="minorEastAsia" w:hAnsiTheme="minorEastAsia" w:eastAsiaTheme="minorEastAsia" w:cstheme="minorEastAsia"/>
          <w:color w:val="auto"/>
          <w:sz w:val="24"/>
          <w:szCs w:val="24"/>
          <w:shd w:val="clear" w:fill="FFFFFF"/>
          <w:lang w:eastAsia="zh-CN"/>
        </w:rPr>
        <w:t>增长</w:t>
      </w:r>
      <w:r>
        <w:rPr>
          <w:rFonts w:hint="eastAsia" w:asciiTheme="minorEastAsia" w:hAnsiTheme="minorEastAsia" w:eastAsiaTheme="minorEastAsia" w:cstheme="minorEastAsia"/>
          <w:color w:val="auto"/>
          <w:sz w:val="24"/>
          <w:szCs w:val="24"/>
          <w:shd w:val="clear" w:fill="FFFFFF"/>
          <w:lang w:val="en-US" w:eastAsia="zh-CN"/>
        </w:rPr>
        <w:t>-22.95</w:t>
      </w:r>
      <w:r>
        <w:rPr>
          <w:rFonts w:hint="eastAsia" w:asciiTheme="minorEastAsia" w:hAnsiTheme="minorEastAsia" w:eastAsiaTheme="minorEastAsia" w:cstheme="minorEastAsia"/>
          <w:color w:val="auto"/>
          <w:sz w:val="24"/>
          <w:szCs w:val="24"/>
          <w:shd w:val="clear" w:fill="FFFFFF"/>
        </w:rPr>
        <w:t xml:space="preserve">%。 </w:t>
      </w:r>
    </w:p>
    <w:p w14:paraId="3A4076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年末全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农业机械总动力</w:t>
      </w:r>
      <w:r>
        <w:rPr>
          <w:rFonts w:hint="eastAsia" w:asciiTheme="minorEastAsia" w:hAnsiTheme="minorEastAsia" w:eastAsiaTheme="minorEastAsia" w:cstheme="minorEastAsia"/>
          <w:color w:val="333333"/>
          <w:sz w:val="24"/>
          <w:szCs w:val="24"/>
          <w:shd w:val="clear" w:fill="FFFFFF"/>
          <w:lang w:val="en-US" w:eastAsia="zh-CN"/>
        </w:rPr>
        <w:t>7.81</w:t>
      </w:r>
      <w:r>
        <w:rPr>
          <w:rFonts w:hint="eastAsia" w:asciiTheme="minorEastAsia" w:hAnsiTheme="minorEastAsia" w:eastAsiaTheme="minorEastAsia" w:cstheme="minorEastAsia"/>
          <w:color w:val="333333"/>
          <w:sz w:val="24"/>
          <w:szCs w:val="24"/>
          <w:shd w:val="clear" w:fill="FFFFFF"/>
        </w:rPr>
        <w:t>万千瓦，同比增长</w:t>
      </w:r>
      <w:r>
        <w:rPr>
          <w:rFonts w:hint="eastAsia" w:asciiTheme="minorEastAsia" w:hAnsiTheme="minorEastAsia" w:eastAsiaTheme="minorEastAsia" w:cstheme="minorEastAsia"/>
          <w:color w:val="333333"/>
          <w:sz w:val="24"/>
          <w:szCs w:val="24"/>
          <w:shd w:val="clear" w:fill="FFFFFF"/>
          <w:lang w:val="en-US" w:eastAsia="zh-CN"/>
        </w:rPr>
        <w:t>4.17</w:t>
      </w:r>
      <w:r>
        <w:rPr>
          <w:rFonts w:hint="eastAsia" w:asciiTheme="minorEastAsia" w:hAnsiTheme="minorEastAsia" w:eastAsiaTheme="minorEastAsia" w:cstheme="minorEastAsia"/>
          <w:color w:val="333333"/>
          <w:sz w:val="24"/>
          <w:szCs w:val="24"/>
          <w:shd w:val="clear" w:fill="FFFFFF"/>
        </w:rPr>
        <w:t>%。机械耕地面积</w:t>
      </w:r>
      <w:r>
        <w:rPr>
          <w:rFonts w:hint="eastAsia" w:asciiTheme="minorEastAsia" w:hAnsiTheme="minorEastAsia" w:eastAsiaTheme="minorEastAsia" w:cstheme="minorEastAsia"/>
          <w:color w:val="333333"/>
          <w:sz w:val="24"/>
          <w:szCs w:val="24"/>
          <w:shd w:val="clear" w:fill="FFFFFF"/>
          <w:lang w:val="en-US" w:eastAsia="zh-CN"/>
        </w:rPr>
        <w:t>12320</w:t>
      </w:r>
      <w:r>
        <w:rPr>
          <w:rFonts w:hint="eastAsia" w:asciiTheme="minorEastAsia" w:hAnsiTheme="minorEastAsia" w:eastAsiaTheme="minorEastAsia" w:cstheme="minorEastAsia"/>
          <w:color w:val="333333"/>
          <w:sz w:val="24"/>
          <w:szCs w:val="24"/>
          <w:shd w:val="clear" w:fill="FFFFFF"/>
        </w:rPr>
        <w:t>公顷，同比下降</w:t>
      </w:r>
      <w:r>
        <w:rPr>
          <w:rFonts w:hint="eastAsia" w:asciiTheme="minorEastAsia" w:hAnsiTheme="minorEastAsia" w:eastAsiaTheme="minorEastAsia" w:cstheme="minorEastAsia"/>
          <w:color w:val="333333"/>
          <w:sz w:val="24"/>
          <w:szCs w:val="24"/>
          <w:shd w:val="clear" w:fill="FFFFFF"/>
          <w:lang w:val="en-US" w:eastAsia="zh-CN"/>
        </w:rPr>
        <w:t>20</w:t>
      </w:r>
      <w:r>
        <w:rPr>
          <w:rFonts w:hint="eastAsia" w:asciiTheme="minorEastAsia" w:hAnsiTheme="minorEastAsia" w:eastAsiaTheme="minorEastAsia" w:cstheme="minorEastAsia"/>
          <w:color w:val="333333"/>
          <w:sz w:val="24"/>
          <w:szCs w:val="24"/>
          <w:shd w:val="clear" w:fill="FFFFFF"/>
        </w:rPr>
        <w:t>%；机械播种面积</w:t>
      </w:r>
      <w:r>
        <w:rPr>
          <w:rFonts w:hint="eastAsia" w:asciiTheme="minorEastAsia" w:hAnsiTheme="minorEastAsia" w:eastAsiaTheme="minorEastAsia" w:cstheme="minorEastAsia"/>
          <w:color w:val="333333"/>
          <w:sz w:val="24"/>
          <w:szCs w:val="24"/>
          <w:shd w:val="clear" w:fill="FFFFFF"/>
          <w:lang w:val="en-US" w:eastAsia="zh-CN"/>
        </w:rPr>
        <w:t>12020公顷，同比增长-3％；</w:t>
      </w:r>
      <w:r>
        <w:rPr>
          <w:rFonts w:hint="eastAsia" w:asciiTheme="minorEastAsia" w:hAnsiTheme="minorEastAsia" w:eastAsiaTheme="minorEastAsia" w:cstheme="minorEastAsia"/>
          <w:color w:val="333333"/>
          <w:sz w:val="24"/>
          <w:szCs w:val="24"/>
          <w:shd w:val="clear" w:fill="FFFFFF"/>
        </w:rPr>
        <w:t>机械收获面积</w:t>
      </w:r>
      <w:r>
        <w:rPr>
          <w:rFonts w:hint="eastAsia" w:asciiTheme="minorEastAsia" w:hAnsiTheme="minorEastAsia" w:eastAsiaTheme="minorEastAsia" w:cstheme="minorEastAsia"/>
          <w:color w:val="333333"/>
          <w:sz w:val="24"/>
          <w:szCs w:val="24"/>
          <w:shd w:val="clear" w:fill="FFFFFF"/>
          <w:lang w:val="en-US" w:eastAsia="zh-CN"/>
        </w:rPr>
        <w:t>7980</w:t>
      </w:r>
      <w:r>
        <w:rPr>
          <w:rFonts w:hint="eastAsia" w:asciiTheme="minorEastAsia" w:hAnsiTheme="minorEastAsia" w:eastAsiaTheme="minorEastAsia" w:cstheme="minorEastAsia"/>
          <w:color w:val="333333"/>
          <w:sz w:val="24"/>
          <w:szCs w:val="24"/>
          <w:shd w:val="clear" w:fill="FFFFFF"/>
        </w:rPr>
        <w:t>公顷。</w:t>
      </w:r>
    </w:p>
    <w:p w14:paraId="745840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5" w:beforeLines="30" w:beforeAutospacing="0" w:after="95" w:afterLines="3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rPr>
        <w:t xml:space="preserve">三、工业和建筑业 </w:t>
      </w:r>
    </w:p>
    <w:p w14:paraId="395137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年末全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规模以上工业企业</w:t>
      </w:r>
      <w:r>
        <w:rPr>
          <w:rFonts w:hint="eastAsia" w:asciiTheme="minorEastAsia" w:hAnsiTheme="minorEastAsia" w:eastAsiaTheme="minorEastAsia" w:cstheme="minorEastAsia"/>
          <w:color w:val="333333"/>
          <w:sz w:val="24"/>
          <w:szCs w:val="24"/>
          <w:shd w:val="clear" w:fill="FFFFFF"/>
          <w:lang w:val="en-US" w:eastAsia="zh-CN"/>
        </w:rPr>
        <w:t xml:space="preserve"> 40 </w:t>
      </w:r>
      <w:r>
        <w:rPr>
          <w:rFonts w:hint="eastAsia" w:asciiTheme="minorEastAsia" w:hAnsiTheme="minorEastAsia" w:eastAsiaTheme="minorEastAsia" w:cstheme="minorEastAsia"/>
          <w:color w:val="333333"/>
          <w:sz w:val="24"/>
          <w:szCs w:val="24"/>
          <w:shd w:val="clear" w:fill="FFFFFF"/>
        </w:rPr>
        <w:t>家</w:t>
      </w:r>
      <w:r>
        <w:rPr>
          <w:rFonts w:hint="eastAsia" w:asciiTheme="minorEastAsia" w:hAnsiTheme="minorEastAsia" w:eastAsiaTheme="minorEastAsia" w:cstheme="minorEastAsia"/>
          <w:color w:val="333333"/>
          <w:sz w:val="24"/>
          <w:szCs w:val="24"/>
          <w:shd w:val="clear" w:fill="FFFFFF"/>
          <w:lang w:eastAsia="zh-CN"/>
        </w:rPr>
        <w:t>，与上年相比减少</w:t>
      </w:r>
      <w:r>
        <w:rPr>
          <w:rFonts w:hint="eastAsia" w:asciiTheme="minorEastAsia" w:hAnsiTheme="minorEastAsia" w:eastAsiaTheme="minorEastAsia" w:cstheme="minorEastAsia"/>
          <w:color w:val="333333"/>
          <w:sz w:val="24"/>
          <w:szCs w:val="24"/>
          <w:shd w:val="clear" w:fill="FFFFFF"/>
          <w:lang w:val="en-US" w:eastAsia="zh-CN"/>
        </w:rPr>
        <w:t>2家。</w:t>
      </w:r>
      <w:r>
        <w:rPr>
          <w:rFonts w:hint="eastAsia" w:asciiTheme="minorEastAsia" w:hAnsiTheme="minorEastAsia" w:eastAsiaTheme="minorEastAsia" w:cstheme="minorEastAsia"/>
          <w:color w:val="333333"/>
          <w:sz w:val="24"/>
          <w:szCs w:val="24"/>
          <w:shd w:val="clear" w:fill="FFFFFF"/>
        </w:rPr>
        <w:t>全年全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规模以上工业增加值同比</w:t>
      </w:r>
      <w:r>
        <w:rPr>
          <w:rFonts w:hint="eastAsia" w:asciiTheme="minorEastAsia" w:hAnsiTheme="minorEastAsia" w:eastAsiaTheme="minorEastAsia" w:cstheme="minorEastAsia"/>
          <w:color w:val="333333"/>
          <w:sz w:val="24"/>
          <w:szCs w:val="24"/>
          <w:shd w:val="clear" w:fill="FFFFFF"/>
          <w:lang w:eastAsia="zh-CN"/>
        </w:rPr>
        <w:t>下降</w:t>
      </w:r>
      <w:r>
        <w:rPr>
          <w:rFonts w:hint="eastAsia" w:asciiTheme="minorEastAsia" w:hAnsiTheme="minorEastAsia" w:eastAsiaTheme="minorEastAsia" w:cstheme="minorEastAsia"/>
          <w:color w:val="333333"/>
          <w:sz w:val="24"/>
          <w:szCs w:val="24"/>
          <w:shd w:val="clear" w:fill="FFFFFF"/>
          <w:lang w:val="en-US" w:eastAsia="zh-CN"/>
        </w:rPr>
        <w:t xml:space="preserve">8.9 </w:t>
      </w:r>
      <w:r>
        <w:rPr>
          <w:rFonts w:hint="eastAsia" w:asciiTheme="minorEastAsia" w:hAnsiTheme="minorEastAsia" w:eastAsiaTheme="minorEastAsia" w:cstheme="minorEastAsia"/>
          <w:color w:val="333333"/>
          <w:sz w:val="24"/>
          <w:szCs w:val="24"/>
          <w:shd w:val="clear" w:fill="FFFFFF"/>
        </w:rPr>
        <w:t>%。其中，煤炭工业增加值同比</w:t>
      </w:r>
      <w:r>
        <w:rPr>
          <w:rFonts w:hint="eastAsia" w:asciiTheme="minorEastAsia" w:hAnsiTheme="minorEastAsia" w:eastAsiaTheme="minorEastAsia" w:cstheme="minorEastAsia"/>
          <w:color w:val="333333"/>
          <w:sz w:val="24"/>
          <w:szCs w:val="24"/>
          <w:shd w:val="clear" w:fill="FFFFFF"/>
          <w:lang w:eastAsia="zh-CN"/>
        </w:rPr>
        <w:t>下降</w:t>
      </w:r>
      <w:r>
        <w:rPr>
          <w:rFonts w:hint="eastAsia" w:asciiTheme="minorEastAsia" w:hAnsiTheme="minorEastAsia" w:eastAsiaTheme="minorEastAsia" w:cstheme="minorEastAsia"/>
          <w:color w:val="333333"/>
          <w:sz w:val="24"/>
          <w:szCs w:val="24"/>
          <w:shd w:val="clear" w:fill="FFFFFF"/>
          <w:lang w:val="en-US" w:eastAsia="zh-CN"/>
        </w:rPr>
        <w:t xml:space="preserve">10.8 </w:t>
      </w:r>
      <w:r>
        <w:rPr>
          <w:rFonts w:hint="eastAsia" w:asciiTheme="minorEastAsia" w:hAnsiTheme="minorEastAsia" w:eastAsiaTheme="minorEastAsia" w:cstheme="minorEastAsia"/>
          <w:color w:val="333333"/>
          <w:sz w:val="24"/>
          <w:szCs w:val="24"/>
          <w:shd w:val="clear" w:fill="FFFFFF"/>
        </w:rPr>
        <w:t>%，非煤工业增加值同比增长</w:t>
      </w:r>
      <w:r>
        <w:rPr>
          <w:rFonts w:hint="eastAsia" w:asciiTheme="minorEastAsia" w:hAnsiTheme="minorEastAsia" w:eastAsiaTheme="minorEastAsia" w:cstheme="minorEastAsia"/>
          <w:color w:val="333333"/>
          <w:sz w:val="24"/>
          <w:szCs w:val="24"/>
          <w:shd w:val="clear" w:fill="FFFFFF"/>
          <w:lang w:val="en-US" w:eastAsia="zh-CN"/>
        </w:rPr>
        <w:t xml:space="preserve">9 </w:t>
      </w:r>
      <w:r>
        <w:rPr>
          <w:rFonts w:hint="eastAsia" w:asciiTheme="minorEastAsia" w:hAnsiTheme="minorEastAsia" w:eastAsiaTheme="minorEastAsia" w:cstheme="minorEastAsia"/>
          <w:color w:val="333333"/>
          <w:sz w:val="24"/>
          <w:szCs w:val="24"/>
          <w:shd w:val="clear" w:fill="FFFFFF"/>
        </w:rPr>
        <w:t>%。规模以上工业中，战略性新兴产业增加值同比</w:t>
      </w:r>
      <w:r>
        <w:rPr>
          <w:rFonts w:hint="eastAsia" w:asciiTheme="minorEastAsia" w:hAnsiTheme="minorEastAsia" w:eastAsiaTheme="minorEastAsia" w:cstheme="minorEastAsia"/>
          <w:color w:val="333333"/>
          <w:sz w:val="24"/>
          <w:szCs w:val="24"/>
          <w:shd w:val="clear" w:fill="FFFFFF"/>
          <w:lang w:eastAsia="zh-CN"/>
        </w:rPr>
        <w:t>下降</w:t>
      </w:r>
      <w:r>
        <w:rPr>
          <w:rFonts w:hint="eastAsia" w:asciiTheme="minorEastAsia" w:hAnsiTheme="minorEastAsia" w:eastAsiaTheme="minorEastAsia" w:cstheme="minorEastAsia"/>
          <w:color w:val="333333"/>
          <w:sz w:val="24"/>
          <w:szCs w:val="24"/>
          <w:shd w:val="clear" w:fill="FFFFFF"/>
          <w:lang w:val="en-US" w:eastAsia="zh-CN"/>
        </w:rPr>
        <w:t>2.21</w:t>
      </w:r>
      <w:r>
        <w:rPr>
          <w:rFonts w:hint="eastAsia" w:asciiTheme="minorEastAsia" w:hAnsiTheme="minorEastAsia" w:eastAsiaTheme="minorEastAsia" w:cstheme="minorEastAsia"/>
          <w:color w:val="333333"/>
          <w:sz w:val="24"/>
          <w:szCs w:val="24"/>
          <w:shd w:val="clear" w:fill="FFFFFF"/>
        </w:rPr>
        <w:t xml:space="preserve">%。 </w:t>
      </w:r>
    </w:p>
    <w:p w14:paraId="46C9B4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图4</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2015-2019年全县规模以上工业增加值增长速度</w:t>
      </w:r>
    </w:p>
    <w:p w14:paraId="716C5A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g">
            <w:drawing>
              <wp:inline distT="0" distB="0" distL="114300" distR="114300">
                <wp:extent cx="5267960" cy="2616200"/>
                <wp:effectExtent l="4445" t="4445" r="23495" b="8255"/>
                <wp:docPr id="9" name="组合 9"/>
                <wp:cNvGraphicFramePr/>
                <a:graphic xmlns:a="http://schemas.openxmlformats.org/drawingml/2006/main">
                  <a:graphicData uri="http://schemas.microsoft.com/office/word/2010/wordprocessingGroup">
                    <wpg:wgp>
                      <wpg:cNvGrpSpPr/>
                      <wpg:grpSpPr>
                        <a:xfrm>
                          <a:off x="0" y="0"/>
                          <a:ext cx="5267960" cy="2616200"/>
                          <a:chOff x="2725" y="105073"/>
                          <a:chExt cx="7365" cy="5006"/>
                        </a:xfrm>
                      </wpg:grpSpPr>
                      <wpg:graphicFrame>
                        <wpg:cNvPr id="23" name="图表 2"/>
                        <wpg:cNvFrPr/>
                        <wpg:xfrm>
                          <a:off x="2725" y="105073"/>
                          <a:ext cx="7365" cy="5006"/>
                        </wpg:xfrm>
                        <a:graphic>
                          <a:graphicData uri="http://schemas.openxmlformats.org/drawingml/2006/chart">
                            <c:chart xmlns:c="http://schemas.openxmlformats.org/drawingml/2006/chart" xmlns:r="http://schemas.openxmlformats.org/officeDocument/2006/relationships" r:id="rId8"/>
                          </a:graphicData>
                        </a:graphic>
                      </wpg:graphicFrame>
                      <wps:wsp>
                        <wps:cNvPr id="4" name="文本框 3"/>
                        <wps:cNvSpPr txBox="1"/>
                        <wps:spPr>
                          <a:xfrm>
                            <a:off x="2810" y="105122"/>
                            <a:ext cx="540" cy="49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3F23AE0">
                              <w:pPr>
                                <w:pStyle w:val="5"/>
                                <w:kinsoku/>
                                <w:ind w:left="0"/>
                                <w:jc w:val="left"/>
                              </w:pPr>
                              <w:r>
                                <w:rPr>
                                  <w:rFonts w:asciiTheme="minorAscii" w:hAnsiTheme="minorBidi" w:eastAsiaTheme="minorEastAsia"/>
                                  <w:color w:val="000000" w:themeColor="dark1"/>
                                  <w:kern w:val="24"/>
                                  <w:sz w:val="22"/>
                                  <w:szCs w:val="22"/>
                                  <w14:textFill>
                                    <w14:solidFill>
                                      <w14:schemeClr w14:val="dk1"/>
                                    </w14:solidFill>
                                  </w14:textFill>
                                </w:rPr>
                                <w:t>%</w:t>
                              </w:r>
                            </w:p>
                          </w:txbxContent>
                        </wps:txbx>
                        <wps:bodyPr vertOverflow="clip" horzOverflow="clip" wrap="square" rtlCol="0" anchor="t">
                          <a:noAutofit/>
                        </wps:bodyPr>
                      </wps:wsp>
                    </wpg:wgp>
                  </a:graphicData>
                </a:graphic>
              </wp:inline>
            </w:drawing>
          </mc:Choice>
          <mc:Fallback>
            <w:pict>
              <v:group id="_x0000_s1026" o:spid="_x0000_s1026" o:spt="203" style="height:206pt;width:414.8pt;" coordorigin="2725,105073" coordsize="7365,5006" o:gfxdata="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">
                <o:lock v:ext="edit" aspectratio="f"/>
                <v:rect id="图表 2" o:spid="_x0000_s1026" o:spt="75" style="position:absolute;left:2718;top:105064;height:5024;width:7378;" coordsize="21600,21600" o:gfxdata="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kGXOugAAANsA&#10;AAAPAAAAAAAAAAEAIAAAACIAAABkcnMvZG93bnJldi54bWxQSwECFAAUAAAACACHTuJAMy8FnjsA&#10;AAA5AAAAEAAAAAAAAAABACAAAAAJAQAAZHJzL3NoYXBleG1sLnhtbFBLBQYAAAAABgAGAFsBAACz&#10;AwAAAAA=&#10;">
                  <v:imagedata r:id="rId9" o:title=""/>
                  <o:lock v:ext="edit"/>
                </v:rect>
                <v:shape id="文本框 3" o:spid="_x0000_s1026" o:spt="202" type="#_x0000_t202" style="position:absolute;left:2810;top:105122;height:497;width:540;"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43F23AE0">
                        <w:pPr>
                          <w:pStyle w:val="5"/>
                          <w:kinsoku/>
                          <w:ind w:left="0"/>
                          <w:jc w:val="left"/>
                        </w:pPr>
                        <w:r>
                          <w:rPr>
                            <w:rFonts w:asciiTheme="minorAscii" w:hAnsiTheme="minorBidi" w:eastAsiaTheme="minorEastAsia"/>
                            <w:color w:val="000000" w:themeColor="dark1"/>
                            <w:kern w:val="24"/>
                            <w:sz w:val="22"/>
                            <w:szCs w:val="22"/>
                            <w14:textFill>
                              <w14:solidFill>
                                <w14:schemeClr w14:val="dk1"/>
                              </w14:solidFill>
                            </w14:textFill>
                          </w:rPr>
                          <w:t>%</w:t>
                        </w:r>
                      </w:p>
                    </w:txbxContent>
                  </v:textbox>
                </v:shape>
                <w10:wrap type="none"/>
                <w10:anchorlock/>
              </v:group>
            </w:pict>
          </mc:Fallback>
        </mc:AlternateContent>
      </w:r>
    </w:p>
    <w:p w14:paraId="296DE35F">
      <w:pPr>
        <w:pStyle w:val="5"/>
        <w:keepNext w:val="0"/>
        <w:keepLines w:val="0"/>
        <w:pageBreakBefore w:val="0"/>
        <w:widowControl/>
        <w:kinsoku/>
        <w:wordWrap/>
        <w:overflowPunct/>
        <w:topLinePunct w:val="0"/>
        <w:autoSpaceDE/>
        <w:autoSpaceDN/>
        <w:bidi w:val="0"/>
        <w:adjustRightInd/>
        <w:spacing w:before="156" w:beforeLines="50" w:after="156" w:afterLines="50"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表4</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b/>
          <w:bCs/>
          <w:color w:val="333333"/>
          <w:kern w:val="0"/>
          <w:sz w:val="24"/>
          <w:szCs w:val="24"/>
          <w:shd w:val="clear" w:color="auto" w:fill="FFFFFF"/>
          <w:lang w:bidi="ar"/>
        </w:rPr>
        <w:t>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年规模以上工业总产值、增加值及其增长速度</w:t>
      </w:r>
    </w:p>
    <w:tbl>
      <w:tblPr>
        <w:tblStyle w:val="6"/>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0"/>
        <w:gridCol w:w="1415"/>
        <w:gridCol w:w="1473"/>
        <w:gridCol w:w="1444"/>
        <w:gridCol w:w="1443"/>
      </w:tblGrid>
      <w:tr w14:paraId="2F90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3520" w:type="dxa"/>
            <w:tcBorders>
              <w:top w:val="single" w:color="auto" w:sz="12" w:space="0"/>
              <w:left w:val="nil"/>
              <w:bottom w:val="single" w:color="auto" w:sz="8" w:space="0"/>
              <w:right w:val="single" w:color="auto" w:sz="8" w:space="0"/>
            </w:tcBorders>
            <w:noWrap w:val="0"/>
            <w:vAlign w:val="center"/>
          </w:tcPr>
          <w:p w14:paraId="3F4053C4">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指        标</w:t>
            </w:r>
          </w:p>
        </w:tc>
        <w:tc>
          <w:tcPr>
            <w:tcW w:w="1415" w:type="dxa"/>
            <w:tcBorders>
              <w:top w:val="single" w:color="auto" w:sz="12" w:space="0"/>
              <w:left w:val="single" w:color="auto" w:sz="8" w:space="0"/>
              <w:bottom w:val="single" w:color="auto" w:sz="8" w:space="0"/>
              <w:right w:val="single" w:color="auto" w:sz="8" w:space="0"/>
            </w:tcBorders>
            <w:noWrap w:val="0"/>
            <w:vAlign w:val="center"/>
          </w:tcPr>
          <w:p w14:paraId="75F19139">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工业</w:t>
            </w:r>
          </w:p>
          <w:p w14:paraId="4CFF646B">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总产值</w:t>
            </w:r>
          </w:p>
          <w:p w14:paraId="73E39D57">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（万元）</w:t>
            </w:r>
          </w:p>
        </w:tc>
        <w:tc>
          <w:tcPr>
            <w:tcW w:w="1473" w:type="dxa"/>
            <w:tcBorders>
              <w:top w:val="single" w:color="auto" w:sz="12" w:space="0"/>
              <w:left w:val="single" w:color="auto" w:sz="8" w:space="0"/>
              <w:bottom w:val="single" w:color="auto" w:sz="8" w:space="0"/>
              <w:right w:val="single" w:color="auto" w:sz="8" w:space="0"/>
            </w:tcBorders>
            <w:noWrap w:val="0"/>
            <w:vAlign w:val="center"/>
          </w:tcPr>
          <w:p w14:paraId="252AE18D">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同比</w:t>
            </w:r>
          </w:p>
          <w:p w14:paraId="029E32FE">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增长</w:t>
            </w:r>
          </w:p>
          <w:p w14:paraId="6404A8A6">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w:t>
            </w:r>
          </w:p>
        </w:tc>
        <w:tc>
          <w:tcPr>
            <w:tcW w:w="1444" w:type="dxa"/>
            <w:tcBorders>
              <w:top w:val="single" w:color="auto" w:sz="12" w:space="0"/>
              <w:left w:val="single" w:color="auto" w:sz="8" w:space="0"/>
              <w:bottom w:val="single" w:color="auto" w:sz="8" w:space="0"/>
              <w:right w:val="single" w:color="auto" w:sz="8" w:space="0"/>
            </w:tcBorders>
            <w:noWrap w:val="0"/>
            <w:vAlign w:val="center"/>
          </w:tcPr>
          <w:p w14:paraId="684A631D">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工业</w:t>
            </w:r>
          </w:p>
          <w:p w14:paraId="13E35CD4">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增加值</w:t>
            </w:r>
          </w:p>
          <w:p w14:paraId="719E7D0B">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（万元）</w:t>
            </w:r>
          </w:p>
        </w:tc>
        <w:tc>
          <w:tcPr>
            <w:tcW w:w="1443" w:type="dxa"/>
            <w:tcBorders>
              <w:top w:val="single" w:color="auto" w:sz="12" w:space="0"/>
              <w:left w:val="single" w:color="auto" w:sz="8" w:space="0"/>
              <w:bottom w:val="single" w:color="auto" w:sz="8" w:space="0"/>
              <w:right w:val="nil"/>
            </w:tcBorders>
            <w:noWrap w:val="0"/>
            <w:vAlign w:val="center"/>
          </w:tcPr>
          <w:p w14:paraId="537C8AE5">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同比</w:t>
            </w:r>
          </w:p>
          <w:p w14:paraId="4BD974F3">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增长</w:t>
            </w:r>
          </w:p>
          <w:p w14:paraId="4E87818B">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w:t>
            </w:r>
          </w:p>
        </w:tc>
      </w:tr>
      <w:tr w14:paraId="5894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single" w:color="auto" w:sz="8" w:space="0"/>
              <w:left w:val="nil"/>
              <w:bottom w:val="nil"/>
              <w:right w:val="single" w:color="auto" w:sz="8" w:space="0"/>
            </w:tcBorders>
            <w:noWrap w:val="0"/>
            <w:vAlign w:val="center"/>
          </w:tcPr>
          <w:p w14:paraId="6BEA9DAB">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规模以上工业</w:t>
            </w:r>
          </w:p>
        </w:tc>
        <w:tc>
          <w:tcPr>
            <w:tcW w:w="1415" w:type="dxa"/>
            <w:tcBorders>
              <w:top w:val="single" w:color="auto" w:sz="8" w:space="0"/>
              <w:left w:val="single" w:color="auto" w:sz="8" w:space="0"/>
              <w:bottom w:val="nil"/>
              <w:right w:val="single" w:color="auto" w:sz="8" w:space="0"/>
            </w:tcBorders>
            <w:noWrap w:val="0"/>
            <w:vAlign w:val="center"/>
          </w:tcPr>
          <w:p w14:paraId="5DD6C83E">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3332431</w:t>
            </w:r>
          </w:p>
        </w:tc>
        <w:tc>
          <w:tcPr>
            <w:tcW w:w="1473" w:type="dxa"/>
            <w:tcBorders>
              <w:top w:val="single" w:color="auto" w:sz="8" w:space="0"/>
              <w:left w:val="single" w:color="auto" w:sz="8" w:space="0"/>
              <w:bottom w:val="nil"/>
              <w:right w:val="single" w:color="auto" w:sz="8" w:space="0"/>
            </w:tcBorders>
            <w:noWrap w:val="0"/>
            <w:vAlign w:val="center"/>
          </w:tcPr>
          <w:p w14:paraId="5291771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-9.2</w:t>
            </w:r>
          </w:p>
        </w:tc>
        <w:tc>
          <w:tcPr>
            <w:tcW w:w="1444" w:type="dxa"/>
            <w:tcBorders>
              <w:top w:val="single" w:color="auto" w:sz="8" w:space="0"/>
              <w:left w:val="single" w:color="auto" w:sz="8" w:space="0"/>
              <w:bottom w:val="nil"/>
              <w:right w:val="single" w:color="auto" w:sz="8" w:space="0"/>
            </w:tcBorders>
            <w:noWrap w:val="0"/>
            <w:vAlign w:val="center"/>
          </w:tcPr>
          <w:p w14:paraId="1C61C28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1577956</w:t>
            </w:r>
          </w:p>
        </w:tc>
        <w:tc>
          <w:tcPr>
            <w:tcW w:w="1443" w:type="dxa"/>
            <w:tcBorders>
              <w:top w:val="single" w:color="auto" w:sz="8" w:space="0"/>
              <w:left w:val="single" w:color="auto" w:sz="8" w:space="0"/>
              <w:bottom w:val="nil"/>
              <w:right w:val="nil"/>
            </w:tcBorders>
            <w:noWrap w:val="0"/>
            <w:vAlign w:val="center"/>
          </w:tcPr>
          <w:p w14:paraId="56D328D6">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-8.9</w:t>
            </w:r>
          </w:p>
        </w:tc>
      </w:tr>
      <w:tr w14:paraId="7DFD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14:paraId="6CDC0722">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其中：轻工业</w:t>
            </w:r>
          </w:p>
        </w:tc>
        <w:tc>
          <w:tcPr>
            <w:tcW w:w="1415" w:type="dxa"/>
            <w:tcBorders>
              <w:top w:val="nil"/>
              <w:left w:val="single" w:color="auto" w:sz="8" w:space="0"/>
              <w:bottom w:val="nil"/>
              <w:right w:val="single" w:color="auto" w:sz="8" w:space="0"/>
            </w:tcBorders>
            <w:noWrap w:val="0"/>
            <w:vAlign w:val="center"/>
          </w:tcPr>
          <w:p w14:paraId="75F08786">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p>
        </w:tc>
        <w:tc>
          <w:tcPr>
            <w:tcW w:w="1473" w:type="dxa"/>
            <w:tcBorders>
              <w:top w:val="nil"/>
              <w:left w:val="single" w:color="auto" w:sz="8" w:space="0"/>
              <w:bottom w:val="nil"/>
              <w:right w:val="single" w:color="auto" w:sz="8" w:space="0"/>
            </w:tcBorders>
            <w:noWrap w:val="0"/>
            <w:vAlign w:val="center"/>
          </w:tcPr>
          <w:p w14:paraId="64741B45">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p>
        </w:tc>
        <w:tc>
          <w:tcPr>
            <w:tcW w:w="1444" w:type="dxa"/>
            <w:tcBorders>
              <w:top w:val="nil"/>
              <w:left w:val="single" w:color="auto" w:sz="8" w:space="0"/>
              <w:bottom w:val="nil"/>
              <w:right w:val="single" w:color="auto" w:sz="8" w:space="0"/>
            </w:tcBorders>
            <w:noWrap w:val="0"/>
            <w:vAlign w:val="center"/>
          </w:tcPr>
          <w:p w14:paraId="7A656CB3">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p>
        </w:tc>
        <w:tc>
          <w:tcPr>
            <w:tcW w:w="1443" w:type="dxa"/>
            <w:tcBorders>
              <w:top w:val="nil"/>
              <w:left w:val="single" w:color="auto" w:sz="8" w:space="0"/>
              <w:bottom w:val="nil"/>
              <w:right w:val="nil"/>
            </w:tcBorders>
            <w:noWrap w:val="0"/>
            <w:vAlign w:val="center"/>
          </w:tcPr>
          <w:p w14:paraId="51F9A8F6">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p>
        </w:tc>
      </w:tr>
      <w:tr w14:paraId="3DA8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14:paraId="22F394C3">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重工业</w:t>
            </w:r>
          </w:p>
        </w:tc>
        <w:tc>
          <w:tcPr>
            <w:tcW w:w="1415" w:type="dxa"/>
            <w:tcBorders>
              <w:top w:val="nil"/>
              <w:left w:val="single" w:color="auto" w:sz="8" w:space="0"/>
              <w:bottom w:val="nil"/>
              <w:right w:val="single" w:color="auto" w:sz="8" w:space="0"/>
            </w:tcBorders>
            <w:noWrap w:val="0"/>
            <w:vAlign w:val="center"/>
          </w:tcPr>
          <w:p w14:paraId="5865896A">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3332431</w:t>
            </w:r>
          </w:p>
        </w:tc>
        <w:tc>
          <w:tcPr>
            <w:tcW w:w="1473" w:type="dxa"/>
            <w:tcBorders>
              <w:top w:val="nil"/>
              <w:left w:val="single" w:color="auto" w:sz="8" w:space="0"/>
              <w:bottom w:val="nil"/>
              <w:right w:val="single" w:color="auto" w:sz="8" w:space="0"/>
            </w:tcBorders>
            <w:noWrap w:val="0"/>
            <w:vAlign w:val="center"/>
          </w:tcPr>
          <w:p w14:paraId="410F3A0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-9.2</w:t>
            </w:r>
          </w:p>
        </w:tc>
        <w:tc>
          <w:tcPr>
            <w:tcW w:w="1444" w:type="dxa"/>
            <w:tcBorders>
              <w:top w:val="nil"/>
              <w:left w:val="single" w:color="auto" w:sz="8" w:space="0"/>
              <w:bottom w:val="nil"/>
              <w:right w:val="single" w:color="auto" w:sz="8" w:space="0"/>
            </w:tcBorders>
            <w:noWrap w:val="0"/>
            <w:vAlign w:val="center"/>
          </w:tcPr>
          <w:p w14:paraId="3038201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1577956</w:t>
            </w:r>
          </w:p>
        </w:tc>
        <w:tc>
          <w:tcPr>
            <w:tcW w:w="1443" w:type="dxa"/>
            <w:tcBorders>
              <w:top w:val="nil"/>
              <w:left w:val="single" w:color="auto" w:sz="8" w:space="0"/>
              <w:bottom w:val="nil"/>
              <w:right w:val="nil"/>
            </w:tcBorders>
            <w:noWrap w:val="0"/>
            <w:vAlign w:val="center"/>
          </w:tcPr>
          <w:p w14:paraId="20832DB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-8.9</w:t>
            </w:r>
          </w:p>
        </w:tc>
      </w:tr>
      <w:tr w14:paraId="352C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14:paraId="06BAED57">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其中：国有企业</w:t>
            </w:r>
          </w:p>
        </w:tc>
        <w:tc>
          <w:tcPr>
            <w:tcW w:w="1415" w:type="dxa"/>
            <w:tcBorders>
              <w:top w:val="nil"/>
              <w:left w:val="single" w:color="auto" w:sz="8" w:space="0"/>
              <w:bottom w:val="nil"/>
              <w:right w:val="single" w:color="auto" w:sz="8" w:space="0"/>
            </w:tcBorders>
            <w:noWrap w:val="0"/>
            <w:vAlign w:val="center"/>
          </w:tcPr>
          <w:p w14:paraId="4512D08C">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p>
        </w:tc>
        <w:tc>
          <w:tcPr>
            <w:tcW w:w="1473" w:type="dxa"/>
            <w:tcBorders>
              <w:top w:val="nil"/>
              <w:left w:val="single" w:color="auto" w:sz="8" w:space="0"/>
              <w:bottom w:val="nil"/>
              <w:right w:val="single" w:color="auto" w:sz="8" w:space="0"/>
            </w:tcBorders>
            <w:noWrap w:val="0"/>
            <w:vAlign w:val="center"/>
          </w:tcPr>
          <w:p w14:paraId="258D0235">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p>
        </w:tc>
        <w:tc>
          <w:tcPr>
            <w:tcW w:w="1444" w:type="dxa"/>
            <w:tcBorders>
              <w:top w:val="nil"/>
              <w:left w:val="single" w:color="auto" w:sz="8" w:space="0"/>
              <w:bottom w:val="nil"/>
              <w:right w:val="single" w:color="auto" w:sz="8" w:space="0"/>
            </w:tcBorders>
            <w:noWrap w:val="0"/>
            <w:vAlign w:val="center"/>
          </w:tcPr>
          <w:p w14:paraId="4CC3BF8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p>
        </w:tc>
        <w:tc>
          <w:tcPr>
            <w:tcW w:w="1443" w:type="dxa"/>
            <w:tcBorders>
              <w:top w:val="nil"/>
              <w:left w:val="single" w:color="auto" w:sz="8" w:space="0"/>
              <w:bottom w:val="nil"/>
              <w:right w:val="nil"/>
            </w:tcBorders>
            <w:noWrap w:val="0"/>
            <w:vAlign w:val="center"/>
          </w:tcPr>
          <w:p w14:paraId="25E5F40C">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p>
        </w:tc>
      </w:tr>
      <w:tr w14:paraId="215F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14:paraId="60043C9E">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集体企业</w:t>
            </w:r>
          </w:p>
        </w:tc>
        <w:tc>
          <w:tcPr>
            <w:tcW w:w="1415" w:type="dxa"/>
            <w:tcBorders>
              <w:top w:val="nil"/>
              <w:left w:val="single" w:color="auto" w:sz="8" w:space="0"/>
              <w:bottom w:val="nil"/>
              <w:right w:val="single" w:color="auto" w:sz="8" w:space="0"/>
            </w:tcBorders>
            <w:noWrap w:val="0"/>
            <w:vAlign w:val="center"/>
          </w:tcPr>
          <w:p w14:paraId="382C25A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370757</w:t>
            </w:r>
          </w:p>
        </w:tc>
        <w:tc>
          <w:tcPr>
            <w:tcW w:w="1473" w:type="dxa"/>
            <w:tcBorders>
              <w:top w:val="nil"/>
              <w:left w:val="single" w:color="auto" w:sz="8" w:space="0"/>
              <w:bottom w:val="nil"/>
              <w:right w:val="single" w:color="auto" w:sz="8" w:space="0"/>
            </w:tcBorders>
            <w:noWrap w:val="0"/>
            <w:vAlign w:val="center"/>
          </w:tcPr>
          <w:p w14:paraId="011EBBD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14.3</w:t>
            </w:r>
          </w:p>
        </w:tc>
        <w:tc>
          <w:tcPr>
            <w:tcW w:w="1444" w:type="dxa"/>
            <w:tcBorders>
              <w:top w:val="nil"/>
              <w:left w:val="single" w:color="auto" w:sz="8" w:space="0"/>
              <w:bottom w:val="nil"/>
              <w:right w:val="single" w:color="auto" w:sz="8" w:space="0"/>
            </w:tcBorders>
            <w:noWrap w:val="0"/>
            <w:vAlign w:val="center"/>
          </w:tcPr>
          <w:p w14:paraId="0C9977A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192126</w:t>
            </w:r>
          </w:p>
        </w:tc>
        <w:tc>
          <w:tcPr>
            <w:tcW w:w="1443" w:type="dxa"/>
            <w:tcBorders>
              <w:top w:val="nil"/>
              <w:left w:val="single" w:color="auto" w:sz="8" w:space="0"/>
              <w:bottom w:val="nil"/>
              <w:right w:val="nil"/>
            </w:tcBorders>
            <w:noWrap w:val="0"/>
            <w:vAlign w:val="center"/>
          </w:tcPr>
          <w:p w14:paraId="4823228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17.6</w:t>
            </w:r>
          </w:p>
        </w:tc>
      </w:tr>
      <w:tr w14:paraId="4FEC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14:paraId="13EDECAF">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股份制企业</w:t>
            </w:r>
          </w:p>
        </w:tc>
        <w:tc>
          <w:tcPr>
            <w:tcW w:w="1415" w:type="dxa"/>
            <w:tcBorders>
              <w:top w:val="nil"/>
              <w:left w:val="single" w:color="auto" w:sz="8" w:space="0"/>
              <w:bottom w:val="nil"/>
              <w:right w:val="single" w:color="auto" w:sz="8" w:space="0"/>
            </w:tcBorders>
            <w:noWrap w:val="0"/>
            <w:vAlign w:val="center"/>
          </w:tcPr>
          <w:p w14:paraId="2948135A">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2458691</w:t>
            </w:r>
          </w:p>
        </w:tc>
        <w:tc>
          <w:tcPr>
            <w:tcW w:w="1473" w:type="dxa"/>
            <w:tcBorders>
              <w:top w:val="nil"/>
              <w:left w:val="single" w:color="auto" w:sz="8" w:space="0"/>
              <w:bottom w:val="nil"/>
              <w:right w:val="single" w:color="auto" w:sz="8" w:space="0"/>
            </w:tcBorders>
            <w:noWrap w:val="0"/>
            <w:vAlign w:val="center"/>
          </w:tcPr>
          <w:p w14:paraId="556958B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-14.3</w:t>
            </w:r>
          </w:p>
        </w:tc>
        <w:tc>
          <w:tcPr>
            <w:tcW w:w="1444" w:type="dxa"/>
            <w:tcBorders>
              <w:top w:val="nil"/>
              <w:left w:val="single" w:color="auto" w:sz="8" w:space="0"/>
              <w:bottom w:val="nil"/>
              <w:right w:val="single" w:color="auto" w:sz="8" w:space="0"/>
            </w:tcBorders>
            <w:noWrap w:val="0"/>
            <w:vAlign w:val="center"/>
          </w:tcPr>
          <w:p w14:paraId="78619A88">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1158603</w:t>
            </w:r>
          </w:p>
        </w:tc>
        <w:tc>
          <w:tcPr>
            <w:tcW w:w="1443" w:type="dxa"/>
            <w:tcBorders>
              <w:top w:val="nil"/>
              <w:left w:val="single" w:color="auto" w:sz="8" w:space="0"/>
              <w:bottom w:val="nil"/>
              <w:right w:val="nil"/>
            </w:tcBorders>
            <w:noWrap w:val="0"/>
            <w:vAlign w:val="center"/>
          </w:tcPr>
          <w:p w14:paraId="6681AA0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-14.4</w:t>
            </w:r>
          </w:p>
        </w:tc>
      </w:tr>
      <w:tr w14:paraId="3474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14:paraId="2EC5467C">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其中：国有控股企业</w:t>
            </w:r>
          </w:p>
        </w:tc>
        <w:tc>
          <w:tcPr>
            <w:tcW w:w="1415" w:type="dxa"/>
            <w:tcBorders>
              <w:top w:val="nil"/>
              <w:left w:val="single" w:color="auto" w:sz="8" w:space="0"/>
              <w:bottom w:val="nil"/>
              <w:right w:val="single" w:color="auto" w:sz="8" w:space="0"/>
            </w:tcBorders>
            <w:noWrap w:val="0"/>
            <w:vAlign w:val="center"/>
          </w:tcPr>
          <w:p w14:paraId="50841D10">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424903</w:t>
            </w:r>
          </w:p>
        </w:tc>
        <w:tc>
          <w:tcPr>
            <w:tcW w:w="1473" w:type="dxa"/>
            <w:tcBorders>
              <w:top w:val="nil"/>
              <w:left w:val="single" w:color="auto" w:sz="8" w:space="0"/>
              <w:bottom w:val="nil"/>
              <w:right w:val="single" w:color="auto" w:sz="8" w:space="0"/>
            </w:tcBorders>
            <w:noWrap w:val="0"/>
            <w:vAlign w:val="center"/>
          </w:tcPr>
          <w:p w14:paraId="1E21781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11.4</w:t>
            </w:r>
          </w:p>
        </w:tc>
        <w:tc>
          <w:tcPr>
            <w:tcW w:w="1444" w:type="dxa"/>
            <w:tcBorders>
              <w:top w:val="nil"/>
              <w:left w:val="single" w:color="auto" w:sz="8" w:space="0"/>
              <w:bottom w:val="nil"/>
              <w:right w:val="single" w:color="auto" w:sz="8" w:space="0"/>
            </w:tcBorders>
            <w:noWrap w:val="0"/>
            <w:vAlign w:val="center"/>
          </w:tcPr>
          <w:p w14:paraId="77F6DD13">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204710</w:t>
            </w:r>
          </w:p>
        </w:tc>
        <w:tc>
          <w:tcPr>
            <w:tcW w:w="1443" w:type="dxa"/>
            <w:tcBorders>
              <w:top w:val="nil"/>
              <w:left w:val="single" w:color="auto" w:sz="8" w:space="0"/>
              <w:bottom w:val="nil"/>
              <w:right w:val="nil"/>
            </w:tcBorders>
            <w:noWrap w:val="0"/>
            <w:vAlign w:val="center"/>
          </w:tcPr>
          <w:p w14:paraId="54EBBE0A">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13.5</w:t>
            </w:r>
          </w:p>
        </w:tc>
      </w:tr>
      <w:tr w14:paraId="0C9A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14:paraId="0DCAD827">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其中：煤炭开采和洗选业</w:t>
            </w:r>
          </w:p>
        </w:tc>
        <w:tc>
          <w:tcPr>
            <w:tcW w:w="1415" w:type="dxa"/>
            <w:tcBorders>
              <w:top w:val="nil"/>
              <w:left w:val="single" w:color="auto" w:sz="8" w:space="0"/>
              <w:bottom w:val="nil"/>
              <w:right w:val="single" w:color="auto" w:sz="8" w:space="0"/>
            </w:tcBorders>
            <w:noWrap w:val="0"/>
            <w:vAlign w:val="center"/>
          </w:tcPr>
          <w:p w14:paraId="7FFB070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2680715</w:t>
            </w:r>
          </w:p>
        </w:tc>
        <w:tc>
          <w:tcPr>
            <w:tcW w:w="1473" w:type="dxa"/>
            <w:tcBorders>
              <w:top w:val="nil"/>
              <w:left w:val="single" w:color="auto" w:sz="8" w:space="0"/>
              <w:bottom w:val="nil"/>
              <w:right w:val="single" w:color="auto" w:sz="8" w:space="0"/>
            </w:tcBorders>
            <w:noWrap w:val="0"/>
            <w:vAlign w:val="center"/>
          </w:tcPr>
          <w:p w14:paraId="75F57638">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-13.3</w:t>
            </w:r>
          </w:p>
        </w:tc>
        <w:tc>
          <w:tcPr>
            <w:tcW w:w="1444" w:type="dxa"/>
            <w:tcBorders>
              <w:top w:val="nil"/>
              <w:left w:val="single" w:color="auto" w:sz="8" w:space="0"/>
              <w:bottom w:val="nil"/>
              <w:right w:val="single" w:color="auto" w:sz="8" w:space="0"/>
            </w:tcBorders>
            <w:noWrap w:val="0"/>
            <w:vAlign w:val="center"/>
          </w:tcPr>
          <w:p w14:paraId="24C23B9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1389147</w:t>
            </w:r>
          </w:p>
        </w:tc>
        <w:tc>
          <w:tcPr>
            <w:tcW w:w="1443" w:type="dxa"/>
            <w:tcBorders>
              <w:top w:val="nil"/>
              <w:left w:val="single" w:color="auto" w:sz="8" w:space="0"/>
              <w:bottom w:val="nil"/>
              <w:right w:val="nil"/>
            </w:tcBorders>
            <w:noWrap w:val="0"/>
            <w:vAlign w:val="center"/>
          </w:tcPr>
          <w:p w14:paraId="64BBC8B6">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-10.8</w:t>
            </w:r>
          </w:p>
        </w:tc>
      </w:tr>
      <w:tr w14:paraId="6365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14:paraId="710A70DF">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bidi="ar"/>
              </w:rPr>
              <w:t>炼焦加工业</w:t>
            </w:r>
          </w:p>
        </w:tc>
        <w:tc>
          <w:tcPr>
            <w:tcW w:w="1415" w:type="dxa"/>
            <w:tcBorders>
              <w:top w:val="nil"/>
              <w:left w:val="single" w:color="auto" w:sz="8" w:space="0"/>
              <w:bottom w:val="nil"/>
              <w:right w:val="single" w:color="auto" w:sz="8" w:space="0"/>
            </w:tcBorders>
            <w:noWrap w:val="0"/>
            <w:vAlign w:val="center"/>
          </w:tcPr>
          <w:p w14:paraId="7A643F4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99516</w:t>
            </w:r>
          </w:p>
        </w:tc>
        <w:tc>
          <w:tcPr>
            <w:tcW w:w="1473" w:type="dxa"/>
            <w:tcBorders>
              <w:top w:val="nil"/>
              <w:left w:val="single" w:color="auto" w:sz="8" w:space="0"/>
              <w:bottom w:val="nil"/>
              <w:right w:val="single" w:color="auto" w:sz="8" w:space="0"/>
            </w:tcBorders>
            <w:noWrap w:val="0"/>
            <w:vAlign w:val="center"/>
          </w:tcPr>
          <w:p w14:paraId="22AA4C37">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-15.3</w:t>
            </w:r>
          </w:p>
        </w:tc>
        <w:tc>
          <w:tcPr>
            <w:tcW w:w="1444" w:type="dxa"/>
            <w:tcBorders>
              <w:top w:val="nil"/>
              <w:left w:val="single" w:color="auto" w:sz="8" w:space="0"/>
              <w:bottom w:val="nil"/>
              <w:right w:val="single" w:color="auto" w:sz="8" w:space="0"/>
            </w:tcBorders>
            <w:noWrap w:val="0"/>
            <w:vAlign w:val="center"/>
          </w:tcPr>
          <w:p w14:paraId="66EA18AC">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26362</w:t>
            </w:r>
          </w:p>
        </w:tc>
        <w:tc>
          <w:tcPr>
            <w:tcW w:w="1443" w:type="dxa"/>
            <w:tcBorders>
              <w:top w:val="nil"/>
              <w:left w:val="single" w:color="auto" w:sz="8" w:space="0"/>
              <w:bottom w:val="nil"/>
              <w:right w:val="nil"/>
            </w:tcBorders>
            <w:noWrap w:val="0"/>
            <w:vAlign w:val="center"/>
          </w:tcPr>
          <w:p w14:paraId="006FC3BC">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-17.3</w:t>
            </w:r>
          </w:p>
        </w:tc>
      </w:tr>
      <w:tr w14:paraId="123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520" w:type="dxa"/>
            <w:tcBorders>
              <w:top w:val="nil"/>
              <w:left w:val="nil"/>
              <w:bottom w:val="nil"/>
              <w:right w:val="single" w:color="auto" w:sz="8" w:space="0"/>
            </w:tcBorders>
            <w:noWrap w:val="0"/>
            <w:vAlign w:val="center"/>
          </w:tcPr>
          <w:p w14:paraId="614439D1">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有色金属冶炼和压延加工业</w:t>
            </w:r>
          </w:p>
        </w:tc>
        <w:tc>
          <w:tcPr>
            <w:tcW w:w="1415" w:type="dxa"/>
            <w:tcBorders>
              <w:top w:val="nil"/>
              <w:left w:val="single" w:color="auto" w:sz="8" w:space="0"/>
              <w:bottom w:val="nil"/>
              <w:right w:val="single" w:color="auto" w:sz="8" w:space="0"/>
            </w:tcBorders>
            <w:noWrap w:val="0"/>
            <w:vAlign w:val="center"/>
          </w:tcPr>
          <w:p w14:paraId="4AE92852">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254301</w:t>
            </w:r>
          </w:p>
        </w:tc>
        <w:tc>
          <w:tcPr>
            <w:tcW w:w="1473" w:type="dxa"/>
            <w:tcBorders>
              <w:top w:val="nil"/>
              <w:left w:val="single" w:color="auto" w:sz="8" w:space="0"/>
              <w:bottom w:val="nil"/>
              <w:right w:val="single" w:color="auto" w:sz="8" w:space="0"/>
            </w:tcBorders>
            <w:noWrap w:val="0"/>
            <w:vAlign w:val="center"/>
          </w:tcPr>
          <w:p w14:paraId="2A92135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31.8</w:t>
            </w:r>
          </w:p>
        </w:tc>
        <w:tc>
          <w:tcPr>
            <w:tcW w:w="1444" w:type="dxa"/>
            <w:tcBorders>
              <w:top w:val="nil"/>
              <w:left w:val="single" w:color="auto" w:sz="8" w:space="0"/>
              <w:bottom w:val="nil"/>
              <w:right w:val="single" w:color="auto" w:sz="8" w:space="0"/>
            </w:tcBorders>
            <w:noWrap w:val="0"/>
            <w:vAlign w:val="center"/>
          </w:tcPr>
          <w:p w14:paraId="3050FF0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57396</w:t>
            </w:r>
          </w:p>
        </w:tc>
        <w:tc>
          <w:tcPr>
            <w:tcW w:w="1443" w:type="dxa"/>
            <w:tcBorders>
              <w:top w:val="nil"/>
              <w:left w:val="single" w:color="auto" w:sz="8" w:space="0"/>
              <w:bottom w:val="nil"/>
              <w:right w:val="nil"/>
            </w:tcBorders>
            <w:noWrap w:val="0"/>
            <w:vAlign w:val="center"/>
          </w:tcPr>
          <w:p w14:paraId="2F10D4A7">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33</w:t>
            </w:r>
          </w:p>
        </w:tc>
      </w:tr>
      <w:tr w14:paraId="67E7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exact"/>
        </w:trPr>
        <w:tc>
          <w:tcPr>
            <w:tcW w:w="3520" w:type="dxa"/>
            <w:tcBorders>
              <w:top w:val="nil"/>
              <w:left w:val="nil"/>
              <w:bottom w:val="single" w:color="auto" w:sz="12" w:space="0"/>
              <w:right w:val="single" w:color="auto" w:sz="8" w:space="0"/>
            </w:tcBorders>
            <w:noWrap w:val="0"/>
            <w:vAlign w:val="center"/>
          </w:tcPr>
          <w:p w14:paraId="4B62BB6C">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电力、热力生产和供应业</w:t>
            </w:r>
          </w:p>
        </w:tc>
        <w:tc>
          <w:tcPr>
            <w:tcW w:w="1415" w:type="dxa"/>
            <w:tcBorders>
              <w:top w:val="nil"/>
              <w:left w:val="single" w:color="auto" w:sz="8" w:space="0"/>
              <w:bottom w:val="single" w:color="auto" w:sz="12" w:space="0"/>
              <w:right w:val="single" w:color="auto" w:sz="8" w:space="0"/>
            </w:tcBorders>
            <w:noWrap w:val="0"/>
            <w:vAlign w:val="center"/>
          </w:tcPr>
          <w:p w14:paraId="5D14F056">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23228</w:t>
            </w:r>
          </w:p>
        </w:tc>
        <w:tc>
          <w:tcPr>
            <w:tcW w:w="1473" w:type="dxa"/>
            <w:tcBorders>
              <w:top w:val="nil"/>
              <w:left w:val="single" w:color="auto" w:sz="8" w:space="0"/>
              <w:bottom w:val="single" w:color="auto" w:sz="12" w:space="0"/>
              <w:right w:val="single" w:color="auto" w:sz="8" w:space="0"/>
            </w:tcBorders>
            <w:noWrap w:val="0"/>
            <w:vAlign w:val="center"/>
          </w:tcPr>
          <w:p w14:paraId="7BE9C38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7.9</w:t>
            </w:r>
          </w:p>
        </w:tc>
        <w:tc>
          <w:tcPr>
            <w:tcW w:w="1444" w:type="dxa"/>
            <w:tcBorders>
              <w:top w:val="nil"/>
              <w:left w:val="single" w:color="auto" w:sz="8" w:space="0"/>
              <w:bottom w:val="single" w:color="auto" w:sz="12" w:space="0"/>
              <w:right w:val="single" w:color="auto" w:sz="8" w:space="0"/>
            </w:tcBorders>
            <w:noWrap w:val="0"/>
            <w:vAlign w:val="center"/>
          </w:tcPr>
          <w:p w14:paraId="75DD2B28">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default"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cstheme="minorEastAsia"/>
                <w:color w:val="333333"/>
                <w:kern w:val="0"/>
                <w:sz w:val="24"/>
                <w:szCs w:val="24"/>
                <w:shd w:val="clear" w:color="auto" w:fill="FFFFFF"/>
                <w:lang w:val="en-US" w:eastAsia="zh-CN" w:bidi="ar"/>
              </w:rPr>
              <w:t>85231</w:t>
            </w:r>
          </w:p>
        </w:tc>
        <w:tc>
          <w:tcPr>
            <w:tcW w:w="1443" w:type="dxa"/>
            <w:tcBorders>
              <w:top w:val="nil"/>
              <w:left w:val="single" w:color="auto" w:sz="8" w:space="0"/>
              <w:bottom w:val="single" w:color="auto" w:sz="12" w:space="0"/>
              <w:right w:val="nil"/>
            </w:tcBorders>
            <w:noWrap w:val="0"/>
            <w:vAlign w:val="center"/>
          </w:tcPr>
          <w:p w14:paraId="28AD6160">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7.2</w:t>
            </w:r>
          </w:p>
        </w:tc>
      </w:tr>
    </w:tbl>
    <w:p w14:paraId="72881E7C">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全年规模以上工业企业原煤产量3200.99 万吨，同比下降0.34 %；洗精煤产量2008.68 万吨，同比下降14.94%；焦炭产量59.31万吨，同比下降6.69%；水泥产量222.66 万吨，同比增长29.62 %；氧化铝106.64 万吨，同比增长41.2%。发电量90.44亿千瓦时，同比增长14.11%。 </w:t>
      </w:r>
    </w:p>
    <w:p w14:paraId="2CBF8831">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color="auto" w:fill="FFFFFF"/>
        </w:rPr>
        <w:t>规模以上工业企业实现主营业务收入 338.6 亿元，同比下降15.9 %。其中</w:t>
      </w:r>
      <w:r>
        <w:rPr>
          <w:rFonts w:hint="eastAsia" w:asciiTheme="minorEastAsia" w:hAnsiTheme="minorEastAsia" w:eastAsiaTheme="minorEastAsia" w:cstheme="minorEastAsia"/>
          <w:color w:val="auto"/>
          <w:sz w:val="24"/>
          <w:szCs w:val="24"/>
          <w:shd w:val="clear" w:color="auto" w:fill="FFFFFF"/>
        </w:rPr>
        <w:t>，有色金属、电力工业企业主营业务收入呈上升趋势，分别增长39.2 %、9.2 %；煤炭、焦炭工</w:t>
      </w:r>
      <w:r>
        <w:rPr>
          <w:rFonts w:hint="eastAsia" w:asciiTheme="minorEastAsia" w:hAnsiTheme="minorEastAsia" w:eastAsiaTheme="minorEastAsia" w:cstheme="minorEastAsia"/>
          <w:color w:val="333333"/>
          <w:sz w:val="24"/>
          <w:szCs w:val="24"/>
          <w:shd w:val="clear" w:color="auto" w:fill="FFFFFF"/>
        </w:rPr>
        <w:t>业企业主营业务收入呈下降趋势，分别下降21.3 %、10.4%。</w:t>
      </w:r>
    </w:p>
    <w:p w14:paraId="4182911A">
      <w:pPr>
        <w:keepNext w:val="0"/>
        <w:keepLines w:val="0"/>
        <w:pageBreakBefore w:val="0"/>
        <w:widowControl/>
        <w:kinsoku/>
        <w:wordWrap/>
        <w:overflowPunct/>
        <w:topLinePunct w:val="0"/>
        <w:autoSpaceDE/>
        <w:autoSpaceDN/>
        <w:bidi w:val="0"/>
        <w:adjustRightInd/>
        <w:snapToGrid/>
        <w:spacing w:before="156" w:beforeLines="50" w:after="156" w:afterLines="50"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表5  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年规模以上工业主要工业产品产量及其增长速度</w:t>
      </w:r>
    </w:p>
    <w:tbl>
      <w:tblPr>
        <w:tblStyle w:val="6"/>
        <w:tblW w:w="8379" w:type="dxa"/>
        <w:tblInd w:w="0" w:type="dxa"/>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Layout w:type="fixed"/>
        <w:tblCellMar>
          <w:top w:w="0" w:type="dxa"/>
          <w:left w:w="108" w:type="dxa"/>
          <w:bottom w:w="0" w:type="dxa"/>
          <w:right w:w="108" w:type="dxa"/>
        </w:tblCellMar>
      </w:tblPr>
      <w:tblGrid>
        <w:gridCol w:w="2884"/>
        <w:gridCol w:w="1650"/>
        <w:gridCol w:w="1969"/>
        <w:gridCol w:w="1876"/>
      </w:tblGrid>
      <w:tr w14:paraId="0207E568">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1500" w:hRule="atLeast"/>
        </w:trPr>
        <w:tc>
          <w:tcPr>
            <w:tcW w:w="2884" w:type="dxa"/>
            <w:tcBorders>
              <w:top w:val="single" w:color="auto" w:sz="12" w:space="0"/>
              <w:bottom w:val="single" w:color="auto" w:sz="8" w:space="0"/>
              <w:right w:val="single" w:color="auto" w:sz="8" w:space="0"/>
            </w:tcBorders>
            <w:noWrap w:val="0"/>
            <w:vAlign w:val="center"/>
          </w:tcPr>
          <w:p w14:paraId="5447DFCE">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产 品 名 称</w:t>
            </w:r>
          </w:p>
        </w:tc>
        <w:tc>
          <w:tcPr>
            <w:tcW w:w="1650" w:type="dxa"/>
            <w:tcBorders>
              <w:top w:val="single" w:color="auto" w:sz="12" w:space="0"/>
              <w:left w:val="single" w:color="auto" w:sz="8" w:space="0"/>
              <w:bottom w:val="single" w:color="auto" w:sz="8" w:space="0"/>
              <w:right w:val="single" w:color="auto" w:sz="8" w:space="0"/>
            </w:tcBorders>
            <w:noWrap w:val="0"/>
            <w:vAlign w:val="center"/>
          </w:tcPr>
          <w:p w14:paraId="0BD621D2">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单  位</w:t>
            </w:r>
          </w:p>
        </w:tc>
        <w:tc>
          <w:tcPr>
            <w:tcW w:w="1969" w:type="dxa"/>
            <w:tcBorders>
              <w:top w:val="single" w:color="auto" w:sz="12" w:space="0"/>
              <w:left w:val="single" w:color="auto" w:sz="8" w:space="0"/>
              <w:bottom w:val="single" w:color="auto" w:sz="8" w:space="0"/>
              <w:right w:val="single" w:color="auto" w:sz="8" w:space="0"/>
            </w:tcBorders>
            <w:noWrap w:val="0"/>
            <w:vAlign w:val="center"/>
          </w:tcPr>
          <w:p w14:paraId="160AB6E8">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产  量</w:t>
            </w:r>
          </w:p>
        </w:tc>
        <w:tc>
          <w:tcPr>
            <w:tcW w:w="1876" w:type="dxa"/>
            <w:tcBorders>
              <w:top w:val="single" w:color="auto" w:sz="12" w:space="0"/>
              <w:left w:val="single" w:color="auto" w:sz="8" w:space="0"/>
              <w:bottom w:val="single" w:color="auto" w:sz="8" w:space="0"/>
            </w:tcBorders>
            <w:noWrap w:val="0"/>
            <w:vAlign w:val="center"/>
          </w:tcPr>
          <w:p w14:paraId="55E24738">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比上年增长（%）</w:t>
            </w:r>
          </w:p>
        </w:tc>
      </w:tr>
      <w:tr w14:paraId="09208575">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834" w:hRule="atLeast"/>
        </w:trPr>
        <w:tc>
          <w:tcPr>
            <w:tcW w:w="2884" w:type="dxa"/>
            <w:tcBorders>
              <w:top w:val="single" w:color="auto" w:sz="8" w:space="0"/>
              <w:bottom w:val="nil"/>
              <w:right w:val="single" w:color="auto" w:sz="8" w:space="0"/>
            </w:tcBorders>
            <w:noWrap w:val="0"/>
            <w:vAlign w:val="center"/>
          </w:tcPr>
          <w:p w14:paraId="1B4263AD">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原  煤</w:t>
            </w:r>
          </w:p>
        </w:tc>
        <w:tc>
          <w:tcPr>
            <w:tcW w:w="1650" w:type="dxa"/>
            <w:tcBorders>
              <w:top w:val="single" w:color="auto" w:sz="8" w:space="0"/>
              <w:left w:val="single" w:color="auto" w:sz="8" w:space="0"/>
              <w:bottom w:val="nil"/>
              <w:right w:val="single" w:color="auto" w:sz="8" w:space="0"/>
            </w:tcBorders>
            <w:noWrap w:val="0"/>
            <w:vAlign w:val="center"/>
          </w:tcPr>
          <w:p w14:paraId="1306D58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single" w:color="auto" w:sz="8" w:space="0"/>
              <w:left w:val="single" w:color="auto" w:sz="8" w:space="0"/>
              <w:bottom w:val="nil"/>
              <w:right w:val="single" w:color="auto" w:sz="8" w:space="0"/>
            </w:tcBorders>
            <w:noWrap w:val="0"/>
            <w:vAlign w:val="center"/>
          </w:tcPr>
          <w:p w14:paraId="66FAF4F7">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3200</w:t>
            </w:r>
          </w:p>
        </w:tc>
        <w:tc>
          <w:tcPr>
            <w:tcW w:w="1876" w:type="dxa"/>
            <w:tcBorders>
              <w:top w:val="single" w:color="auto" w:sz="8" w:space="0"/>
              <w:left w:val="single" w:color="auto" w:sz="8" w:space="0"/>
              <w:bottom w:val="nil"/>
            </w:tcBorders>
            <w:noWrap w:val="0"/>
            <w:vAlign w:val="center"/>
          </w:tcPr>
          <w:p w14:paraId="0E9BDB96">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-0.3</w:t>
            </w:r>
          </w:p>
        </w:tc>
      </w:tr>
      <w:tr w14:paraId="1062C4B1">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67" w:hRule="atLeast"/>
        </w:trPr>
        <w:tc>
          <w:tcPr>
            <w:tcW w:w="2884" w:type="dxa"/>
            <w:tcBorders>
              <w:top w:val="nil"/>
              <w:bottom w:val="nil"/>
              <w:right w:val="single" w:color="auto" w:sz="8" w:space="0"/>
            </w:tcBorders>
            <w:noWrap w:val="0"/>
            <w:vAlign w:val="center"/>
          </w:tcPr>
          <w:p w14:paraId="7AE67C87">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其中：县属</w:t>
            </w:r>
            <w:r>
              <w:rPr>
                <w:rFonts w:hint="eastAsia" w:asciiTheme="minorEastAsia" w:hAnsiTheme="minorEastAsia" w:eastAsiaTheme="minorEastAsia" w:cstheme="minorEastAsia"/>
                <w:color w:val="333333"/>
                <w:kern w:val="0"/>
                <w:sz w:val="24"/>
                <w:szCs w:val="24"/>
                <w:shd w:val="clear" w:color="auto" w:fill="FFFFFF"/>
                <w:lang w:eastAsia="zh-CN" w:bidi="ar"/>
              </w:rPr>
              <w:t>企业</w:t>
            </w:r>
          </w:p>
        </w:tc>
        <w:tc>
          <w:tcPr>
            <w:tcW w:w="1650" w:type="dxa"/>
            <w:tcBorders>
              <w:top w:val="nil"/>
              <w:left w:val="single" w:color="auto" w:sz="8" w:space="0"/>
              <w:bottom w:val="nil"/>
              <w:right w:val="single" w:color="auto" w:sz="8" w:space="0"/>
            </w:tcBorders>
            <w:noWrap w:val="0"/>
            <w:vAlign w:val="center"/>
          </w:tcPr>
          <w:p w14:paraId="766451A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nil"/>
              <w:left w:val="single" w:color="auto" w:sz="8" w:space="0"/>
              <w:bottom w:val="nil"/>
              <w:right w:val="single" w:color="auto" w:sz="8" w:space="0"/>
            </w:tcBorders>
            <w:noWrap w:val="0"/>
            <w:vAlign w:val="center"/>
          </w:tcPr>
          <w:p w14:paraId="634E25CB">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2243</w:t>
            </w:r>
          </w:p>
        </w:tc>
        <w:tc>
          <w:tcPr>
            <w:tcW w:w="1876" w:type="dxa"/>
            <w:tcBorders>
              <w:top w:val="nil"/>
              <w:left w:val="single" w:color="auto" w:sz="8" w:space="0"/>
              <w:bottom w:val="nil"/>
            </w:tcBorders>
            <w:noWrap w:val="0"/>
            <w:vAlign w:val="center"/>
          </w:tcPr>
          <w:p w14:paraId="75F832CC">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-0.8</w:t>
            </w:r>
          </w:p>
        </w:tc>
      </w:tr>
      <w:tr w14:paraId="28FA7E9F">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67" w:hRule="atLeast"/>
        </w:trPr>
        <w:tc>
          <w:tcPr>
            <w:tcW w:w="2884" w:type="dxa"/>
            <w:tcBorders>
              <w:top w:val="nil"/>
              <w:bottom w:val="nil"/>
              <w:right w:val="single" w:color="auto" w:sz="8" w:space="0"/>
            </w:tcBorders>
            <w:noWrap w:val="0"/>
            <w:vAlign w:val="center"/>
          </w:tcPr>
          <w:p w14:paraId="6CD20344">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洗精煤</w:t>
            </w:r>
          </w:p>
        </w:tc>
        <w:tc>
          <w:tcPr>
            <w:tcW w:w="1650" w:type="dxa"/>
            <w:tcBorders>
              <w:top w:val="nil"/>
              <w:left w:val="single" w:color="auto" w:sz="8" w:space="0"/>
              <w:bottom w:val="nil"/>
              <w:right w:val="single" w:color="auto" w:sz="8" w:space="0"/>
            </w:tcBorders>
            <w:noWrap w:val="0"/>
            <w:vAlign w:val="center"/>
          </w:tcPr>
          <w:p w14:paraId="7C1D6E8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nil"/>
              <w:left w:val="single" w:color="auto" w:sz="8" w:space="0"/>
              <w:bottom w:val="nil"/>
              <w:right w:val="single" w:color="auto" w:sz="8" w:space="0"/>
            </w:tcBorders>
            <w:noWrap w:val="0"/>
            <w:vAlign w:val="center"/>
          </w:tcPr>
          <w:p w14:paraId="2FEED88B">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2008</w:t>
            </w:r>
          </w:p>
        </w:tc>
        <w:tc>
          <w:tcPr>
            <w:tcW w:w="1876" w:type="dxa"/>
            <w:tcBorders>
              <w:top w:val="nil"/>
              <w:left w:val="single" w:color="auto" w:sz="8" w:space="0"/>
              <w:bottom w:val="nil"/>
            </w:tcBorders>
            <w:noWrap w:val="0"/>
            <w:vAlign w:val="center"/>
          </w:tcPr>
          <w:p w14:paraId="5C4089F6">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-14.9</w:t>
            </w:r>
          </w:p>
        </w:tc>
      </w:tr>
      <w:tr w14:paraId="790FCA7B">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67" w:hRule="atLeast"/>
        </w:trPr>
        <w:tc>
          <w:tcPr>
            <w:tcW w:w="2884" w:type="dxa"/>
            <w:tcBorders>
              <w:top w:val="nil"/>
              <w:bottom w:val="nil"/>
              <w:right w:val="single" w:color="auto" w:sz="8" w:space="0"/>
            </w:tcBorders>
            <w:noWrap w:val="0"/>
            <w:vAlign w:val="center"/>
          </w:tcPr>
          <w:p w14:paraId="34D772F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其中：县属</w:t>
            </w:r>
            <w:r>
              <w:rPr>
                <w:rFonts w:hint="eastAsia" w:asciiTheme="minorEastAsia" w:hAnsiTheme="minorEastAsia" w:eastAsiaTheme="minorEastAsia" w:cstheme="minorEastAsia"/>
                <w:color w:val="333333"/>
                <w:kern w:val="0"/>
                <w:sz w:val="24"/>
                <w:szCs w:val="24"/>
                <w:shd w:val="clear" w:color="auto" w:fill="FFFFFF"/>
                <w:lang w:eastAsia="zh-CN" w:bidi="ar"/>
              </w:rPr>
              <w:t>企业</w:t>
            </w:r>
          </w:p>
        </w:tc>
        <w:tc>
          <w:tcPr>
            <w:tcW w:w="1650" w:type="dxa"/>
            <w:tcBorders>
              <w:top w:val="nil"/>
              <w:left w:val="single" w:color="auto" w:sz="8" w:space="0"/>
              <w:bottom w:val="nil"/>
              <w:right w:val="single" w:color="auto" w:sz="8" w:space="0"/>
            </w:tcBorders>
            <w:noWrap w:val="0"/>
            <w:vAlign w:val="center"/>
          </w:tcPr>
          <w:p w14:paraId="6931742B">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nil"/>
              <w:left w:val="single" w:color="auto" w:sz="8" w:space="0"/>
              <w:bottom w:val="nil"/>
              <w:right w:val="single" w:color="auto" w:sz="8" w:space="0"/>
            </w:tcBorders>
            <w:noWrap w:val="0"/>
            <w:vAlign w:val="center"/>
          </w:tcPr>
          <w:p w14:paraId="2691A6F8">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1429</w:t>
            </w:r>
          </w:p>
        </w:tc>
        <w:tc>
          <w:tcPr>
            <w:tcW w:w="1876" w:type="dxa"/>
            <w:tcBorders>
              <w:top w:val="nil"/>
              <w:left w:val="single" w:color="auto" w:sz="8" w:space="0"/>
              <w:bottom w:val="nil"/>
            </w:tcBorders>
            <w:noWrap w:val="0"/>
            <w:vAlign w:val="center"/>
          </w:tcPr>
          <w:p w14:paraId="5625B89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-22.7</w:t>
            </w:r>
          </w:p>
        </w:tc>
      </w:tr>
      <w:tr w14:paraId="25039247">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67" w:hRule="atLeast"/>
        </w:trPr>
        <w:tc>
          <w:tcPr>
            <w:tcW w:w="2884" w:type="dxa"/>
            <w:tcBorders>
              <w:top w:val="nil"/>
              <w:bottom w:val="nil"/>
              <w:right w:val="single" w:color="auto" w:sz="8" w:space="0"/>
            </w:tcBorders>
            <w:noWrap w:val="0"/>
            <w:vAlign w:val="center"/>
          </w:tcPr>
          <w:p w14:paraId="6FDDC62A">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其他洗煤</w:t>
            </w:r>
          </w:p>
        </w:tc>
        <w:tc>
          <w:tcPr>
            <w:tcW w:w="1650" w:type="dxa"/>
            <w:tcBorders>
              <w:top w:val="nil"/>
              <w:left w:val="single" w:color="auto" w:sz="8" w:space="0"/>
              <w:bottom w:val="nil"/>
              <w:right w:val="single" w:color="auto" w:sz="8" w:space="0"/>
            </w:tcBorders>
            <w:noWrap w:val="0"/>
            <w:vAlign w:val="center"/>
          </w:tcPr>
          <w:p w14:paraId="4BC160E2">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nil"/>
              <w:left w:val="single" w:color="auto" w:sz="8" w:space="0"/>
              <w:bottom w:val="nil"/>
              <w:right w:val="single" w:color="auto" w:sz="8" w:space="0"/>
            </w:tcBorders>
            <w:noWrap w:val="0"/>
            <w:vAlign w:val="center"/>
          </w:tcPr>
          <w:p w14:paraId="0B8C603C">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567</w:t>
            </w:r>
          </w:p>
        </w:tc>
        <w:tc>
          <w:tcPr>
            <w:tcW w:w="1876" w:type="dxa"/>
            <w:tcBorders>
              <w:top w:val="nil"/>
              <w:left w:val="single" w:color="auto" w:sz="8" w:space="0"/>
              <w:bottom w:val="nil"/>
            </w:tcBorders>
            <w:noWrap w:val="0"/>
            <w:vAlign w:val="center"/>
          </w:tcPr>
          <w:p w14:paraId="3B932F8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-0.9</w:t>
            </w:r>
          </w:p>
        </w:tc>
      </w:tr>
      <w:tr w14:paraId="2A32063F">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67" w:hRule="atLeast"/>
        </w:trPr>
        <w:tc>
          <w:tcPr>
            <w:tcW w:w="2884" w:type="dxa"/>
            <w:tcBorders>
              <w:top w:val="nil"/>
              <w:bottom w:val="nil"/>
              <w:right w:val="single" w:color="auto" w:sz="8" w:space="0"/>
            </w:tcBorders>
            <w:noWrap w:val="0"/>
            <w:vAlign w:val="center"/>
          </w:tcPr>
          <w:p w14:paraId="1F86DEE1">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焦  炭</w:t>
            </w:r>
          </w:p>
        </w:tc>
        <w:tc>
          <w:tcPr>
            <w:tcW w:w="1650" w:type="dxa"/>
            <w:tcBorders>
              <w:top w:val="nil"/>
              <w:left w:val="single" w:color="auto" w:sz="8" w:space="0"/>
              <w:bottom w:val="nil"/>
              <w:right w:val="single" w:color="auto" w:sz="8" w:space="0"/>
            </w:tcBorders>
            <w:noWrap w:val="0"/>
            <w:vAlign w:val="center"/>
          </w:tcPr>
          <w:p w14:paraId="0441C212">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nil"/>
              <w:left w:val="single" w:color="auto" w:sz="8" w:space="0"/>
              <w:bottom w:val="nil"/>
              <w:right w:val="single" w:color="auto" w:sz="8" w:space="0"/>
            </w:tcBorders>
            <w:noWrap w:val="0"/>
            <w:vAlign w:val="center"/>
          </w:tcPr>
          <w:p w14:paraId="6C8F18C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59</w:t>
            </w:r>
          </w:p>
        </w:tc>
        <w:tc>
          <w:tcPr>
            <w:tcW w:w="1876" w:type="dxa"/>
            <w:tcBorders>
              <w:top w:val="nil"/>
              <w:left w:val="single" w:color="auto" w:sz="8" w:space="0"/>
              <w:bottom w:val="nil"/>
            </w:tcBorders>
            <w:noWrap w:val="0"/>
            <w:vAlign w:val="center"/>
          </w:tcPr>
          <w:p w14:paraId="612AFA9A">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-6.6</w:t>
            </w:r>
          </w:p>
        </w:tc>
      </w:tr>
      <w:tr w14:paraId="1271F3FD">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67" w:hRule="atLeast"/>
        </w:trPr>
        <w:tc>
          <w:tcPr>
            <w:tcW w:w="2884" w:type="dxa"/>
            <w:tcBorders>
              <w:top w:val="nil"/>
              <w:bottom w:val="nil"/>
              <w:right w:val="single" w:color="auto" w:sz="8" w:space="0"/>
            </w:tcBorders>
            <w:noWrap w:val="0"/>
            <w:vAlign w:val="center"/>
          </w:tcPr>
          <w:p w14:paraId="0EBEA110">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铝土矿</w:t>
            </w:r>
          </w:p>
        </w:tc>
        <w:tc>
          <w:tcPr>
            <w:tcW w:w="1650" w:type="dxa"/>
            <w:tcBorders>
              <w:top w:val="nil"/>
              <w:left w:val="single" w:color="auto" w:sz="8" w:space="0"/>
              <w:bottom w:val="nil"/>
              <w:right w:val="single" w:color="auto" w:sz="8" w:space="0"/>
            </w:tcBorders>
            <w:noWrap w:val="0"/>
            <w:vAlign w:val="center"/>
          </w:tcPr>
          <w:p w14:paraId="1D335415">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nil"/>
              <w:left w:val="single" w:color="auto" w:sz="8" w:space="0"/>
              <w:bottom w:val="nil"/>
              <w:right w:val="single" w:color="auto" w:sz="8" w:space="0"/>
            </w:tcBorders>
            <w:noWrap w:val="0"/>
            <w:vAlign w:val="center"/>
          </w:tcPr>
          <w:p w14:paraId="44976357">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w:t>
            </w:r>
          </w:p>
        </w:tc>
        <w:tc>
          <w:tcPr>
            <w:tcW w:w="1876" w:type="dxa"/>
            <w:tcBorders>
              <w:top w:val="nil"/>
              <w:left w:val="single" w:color="auto" w:sz="8" w:space="0"/>
              <w:bottom w:val="nil"/>
            </w:tcBorders>
            <w:noWrap w:val="0"/>
            <w:vAlign w:val="center"/>
          </w:tcPr>
          <w:p w14:paraId="69058623">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-93.2</w:t>
            </w:r>
          </w:p>
        </w:tc>
      </w:tr>
      <w:tr w14:paraId="01EC9CCA">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67" w:hRule="atLeast"/>
        </w:trPr>
        <w:tc>
          <w:tcPr>
            <w:tcW w:w="2884" w:type="dxa"/>
            <w:tcBorders>
              <w:top w:val="nil"/>
              <w:bottom w:val="nil"/>
              <w:right w:val="single" w:color="auto" w:sz="8" w:space="0"/>
            </w:tcBorders>
            <w:noWrap w:val="0"/>
            <w:vAlign w:val="center"/>
          </w:tcPr>
          <w:p w14:paraId="2F47BCE3">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水  泥</w:t>
            </w:r>
          </w:p>
        </w:tc>
        <w:tc>
          <w:tcPr>
            <w:tcW w:w="1650" w:type="dxa"/>
            <w:tcBorders>
              <w:top w:val="nil"/>
              <w:left w:val="single" w:color="auto" w:sz="8" w:space="0"/>
              <w:bottom w:val="nil"/>
              <w:right w:val="single" w:color="auto" w:sz="8" w:space="0"/>
            </w:tcBorders>
            <w:noWrap w:val="0"/>
            <w:vAlign w:val="center"/>
          </w:tcPr>
          <w:p w14:paraId="2B1DE77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nil"/>
              <w:left w:val="single" w:color="auto" w:sz="8" w:space="0"/>
              <w:bottom w:val="nil"/>
              <w:right w:val="single" w:color="auto" w:sz="8" w:space="0"/>
            </w:tcBorders>
            <w:noWrap w:val="0"/>
            <w:vAlign w:val="center"/>
          </w:tcPr>
          <w:p w14:paraId="15042C6A">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222</w:t>
            </w:r>
          </w:p>
        </w:tc>
        <w:tc>
          <w:tcPr>
            <w:tcW w:w="1876" w:type="dxa"/>
            <w:tcBorders>
              <w:top w:val="nil"/>
              <w:left w:val="single" w:color="auto" w:sz="8" w:space="0"/>
              <w:bottom w:val="nil"/>
            </w:tcBorders>
            <w:noWrap w:val="0"/>
            <w:vAlign w:val="center"/>
          </w:tcPr>
          <w:p w14:paraId="69ABBCD3">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29.6</w:t>
            </w:r>
          </w:p>
        </w:tc>
      </w:tr>
      <w:tr w14:paraId="1F1AB810">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67" w:hRule="atLeast"/>
        </w:trPr>
        <w:tc>
          <w:tcPr>
            <w:tcW w:w="2884" w:type="dxa"/>
            <w:tcBorders>
              <w:top w:val="nil"/>
              <w:bottom w:val="nil"/>
              <w:right w:val="single" w:color="auto" w:sz="8" w:space="0"/>
            </w:tcBorders>
            <w:noWrap w:val="0"/>
            <w:vAlign w:val="center"/>
          </w:tcPr>
          <w:p w14:paraId="64EC9B2F">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氧化铝</w:t>
            </w:r>
          </w:p>
        </w:tc>
        <w:tc>
          <w:tcPr>
            <w:tcW w:w="1650" w:type="dxa"/>
            <w:tcBorders>
              <w:top w:val="nil"/>
              <w:left w:val="single" w:color="auto" w:sz="8" w:space="0"/>
              <w:bottom w:val="nil"/>
              <w:right w:val="single" w:color="auto" w:sz="8" w:space="0"/>
            </w:tcBorders>
            <w:noWrap w:val="0"/>
            <w:vAlign w:val="center"/>
          </w:tcPr>
          <w:p w14:paraId="1F7C25A0">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万吨</w:t>
            </w:r>
          </w:p>
        </w:tc>
        <w:tc>
          <w:tcPr>
            <w:tcW w:w="1969" w:type="dxa"/>
            <w:tcBorders>
              <w:top w:val="nil"/>
              <w:left w:val="single" w:color="auto" w:sz="8" w:space="0"/>
              <w:bottom w:val="nil"/>
              <w:right w:val="single" w:color="auto" w:sz="8" w:space="0"/>
            </w:tcBorders>
            <w:noWrap w:val="0"/>
            <w:vAlign w:val="center"/>
          </w:tcPr>
          <w:p w14:paraId="3BB78262">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106</w:t>
            </w:r>
          </w:p>
        </w:tc>
        <w:tc>
          <w:tcPr>
            <w:tcW w:w="1876" w:type="dxa"/>
            <w:tcBorders>
              <w:top w:val="nil"/>
              <w:left w:val="single" w:color="auto" w:sz="8" w:space="0"/>
              <w:bottom w:val="nil"/>
            </w:tcBorders>
            <w:noWrap w:val="0"/>
            <w:vAlign w:val="center"/>
          </w:tcPr>
          <w:p w14:paraId="6DB74C3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41.2</w:t>
            </w:r>
          </w:p>
        </w:tc>
      </w:tr>
      <w:tr w14:paraId="51FC3DE5">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867" w:hRule="atLeast"/>
        </w:trPr>
        <w:tc>
          <w:tcPr>
            <w:tcW w:w="2884" w:type="dxa"/>
            <w:tcBorders>
              <w:top w:val="nil"/>
              <w:bottom w:val="single" w:color="auto" w:sz="12" w:space="0"/>
              <w:right w:val="single" w:color="auto" w:sz="8" w:space="0"/>
            </w:tcBorders>
            <w:noWrap w:val="0"/>
            <w:vAlign w:val="center"/>
          </w:tcPr>
          <w:p w14:paraId="390F3E18">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发电量</w:t>
            </w:r>
          </w:p>
        </w:tc>
        <w:tc>
          <w:tcPr>
            <w:tcW w:w="1650" w:type="dxa"/>
            <w:tcBorders>
              <w:top w:val="nil"/>
              <w:left w:val="single" w:color="auto" w:sz="8" w:space="0"/>
              <w:bottom w:val="single" w:color="auto" w:sz="12" w:space="0"/>
              <w:right w:val="single" w:color="auto" w:sz="8" w:space="0"/>
            </w:tcBorders>
            <w:noWrap w:val="0"/>
            <w:vAlign w:val="center"/>
          </w:tcPr>
          <w:p w14:paraId="0FCB790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万千瓦小时</w:t>
            </w:r>
          </w:p>
        </w:tc>
        <w:tc>
          <w:tcPr>
            <w:tcW w:w="1969" w:type="dxa"/>
            <w:tcBorders>
              <w:top w:val="nil"/>
              <w:left w:val="single" w:color="auto" w:sz="8" w:space="0"/>
              <w:bottom w:val="single" w:color="auto" w:sz="12" w:space="0"/>
              <w:right w:val="single" w:color="auto" w:sz="8" w:space="0"/>
            </w:tcBorders>
            <w:noWrap w:val="0"/>
            <w:vAlign w:val="center"/>
          </w:tcPr>
          <w:p w14:paraId="0EA26D4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904352</w:t>
            </w:r>
          </w:p>
        </w:tc>
        <w:tc>
          <w:tcPr>
            <w:tcW w:w="1876" w:type="dxa"/>
            <w:tcBorders>
              <w:top w:val="nil"/>
              <w:left w:val="single" w:color="auto" w:sz="8" w:space="0"/>
              <w:bottom w:val="single" w:color="auto" w:sz="12" w:space="0"/>
            </w:tcBorders>
            <w:noWrap w:val="0"/>
            <w:vAlign w:val="center"/>
          </w:tcPr>
          <w:p w14:paraId="3BF7173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14.1</w:t>
            </w:r>
          </w:p>
        </w:tc>
      </w:tr>
    </w:tbl>
    <w:p w14:paraId="7444A4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规模以上工业实现税</w:t>
      </w:r>
      <w:r>
        <w:rPr>
          <w:rFonts w:hint="eastAsia" w:asciiTheme="minorEastAsia" w:hAnsiTheme="minorEastAsia" w:eastAsiaTheme="minorEastAsia" w:cstheme="minorEastAsia"/>
          <w:color w:val="000000" w:themeColor="text1"/>
          <w:sz w:val="24"/>
          <w:szCs w:val="24"/>
          <w:shd w:val="clear" w:fill="FFFFFF"/>
          <w:lang w:eastAsia="zh-CN"/>
          <w14:textFill>
            <w14:solidFill>
              <w14:schemeClr w14:val="tx1"/>
            </w14:solidFill>
          </w14:textFill>
        </w:rPr>
        <w:t>金</w:t>
      </w:r>
      <w:r>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t xml:space="preserve">54.4亿元，同比下降18.8 </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t>；规模以上工业实现利税95.7</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亿元，同比下降</w:t>
      </w:r>
      <w:r>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t xml:space="preserve">20.4 </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%；实现利润</w:t>
      </w:r>
      <w:r>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t>53.1</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亿元，同比下降</w:t>
      </w:r>
      <w:r>
        <w:rPr>
          <w:rFonts w:hint="eastAsia" w:asciiTheme="minorEastAsia" w:hAnsiTheme="minorEastAsia" w:eastAsiaTheme="minorEastAsia" w:cstheme="minorEastAsia"/>
          <w:color w:val="000000" w:themeColor="text1"/>
          <w:sz w:val="24"/>
          <w:szCs w:val="24"/>
          <w:shd w:val="clear" w:fill="FFFFFF"/>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xml:space="preserve">%。 </w:t>
      </w:r>
    </w:p>
    <w:p w14:paraId="0CD208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全年全县资质以上建筑业企业共3家</w:t>
      </w:r>
      <w:r>
        <w:rPr>
          <w:rFonts w:hint="eastAsia" w:asciiTheme="minorEastAsia" w:hAnsiTheme="minorEastAsia" w:eastAsiaTheme="minorEastAsia" w:cstheme="minorEastAsia"/>
          <w:color w:val="auto"/>
          <w:kern w:val="0"/>
          <w:sz w:val="24"/>
          <w:szCs w:val="24"/>
          <w:shd w:val="clear" w:fill="FFFFFF"/>
          <w:lang w:val="en-US" w:eastAsia="zh-CN" w:bidi="ar"/>
        </w:rPr>
        <w:t>，完成总产值 8208万元，同比增长47.5%，共签订合同额95093万元，同比增长-24.9 %；竣工面积 27697平方米。</w:t>
      </w:r>
    </w:p>
    <w:p w14:paraId="66F884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rPr>
        <w:t>四、能  源</w:t>
      </w:r>
    </w:p>
    <w:p w14:paraId="20BAF9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shd w:val="clear" w:fill="FFFFFF"/>
          <w:lang w:val="en-US" w:eastAsia="zh-CN"/>
        </w:rPr>
      </w:pPr>
      <w:r>
        <w:rPr>
          <w:rFonts w:hint="eastAsia" w:asciiTheme="minorEastAsia" w:hAnsiTheme="minorEastAsia" w:eastAsiaTheme="minorEastAsia" w:cstheme="minorEastAsia"/>
          <w:color w:val="auto"/>
          <w:sz w:val="24"/>
          <w:szCs w:val="24"/>
          <w:shd w:val="clear" w:fill="FFFFFF"/>
          <w:lang w:val="en-US" w:eastAsia="zh-CN"/>
        </w:rPr>
        <w:t>全年全县全社会综合能源消费量217.85万吨标准煤，万元GDP能耗比上年下降4.32％；规模以上工业企业综合能源消费量322.9万吨标准煤，万元工业增加值能耗比上年下降1.43％；万元GDP电耗比上年上升 25.1％。</w:t>
      </w:r>
    </w:p>
    <w:p w14:paraId="0F2350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全年全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全社会用电总量</w:t>
      </w:r>
      <w:r>
        <w:rPr>
          <w:rFonts w:hint="eastAsia" w:asciiTheme="minorEastAsia" w:hAnsiTheme="minorEastAsia" w:eastAsiaTheme="minorEastAsia" w:cstheme="minorEastAsia"/>
          <w:color w:val="333333"/>
          <w:sz w:val="24"/>
          <w:szCs w:val="24"/>
          <w:shd w:val="clear" w:fill="FFFFFF"/>
          <w:lang w:val="en-US" w:eastAsia="zh-CN"/>
        </w:rPr>
        <w:t>17.55</w:t>
      </w:r>
      <w:r>
        <w:rPr>
          <w:rFonts w:hint="eastAsia" w:asciiTheme="minorEastAsia" w:hAnsiTheme="minorEastAsia" w:eastAsiaTheme="minorEastAsia" w:cstheme="minorEastAsia"/>
          <w:color w:val="333333"/>
          <w:sz w:val="24"/>
          <w:szCs w:val="24"/>
          <w:shd w:val="clear" w:fill="FFFFFF"/>
        </w:rPr>
        <w:t>亿千瓦小时。其中，第一产业用电量</w:t>
      </w:r>
      <w:r>
        <w:rPr>
          <w:rFonts w:hint="eastAsia" w:asciiTheme="minorEastAsia" w:hAnsiTheme="minorEastAsia" w:eastAsiaTheme="minorEastAsia" w:cstheme="minorEastAsia"/>
          <w:color w:val="333333"/>
          <w:sz w:val="24"/>
          <w:szCs w:val="24"/>
          <w:shd w:val="clear" w:fill="FFFFFF"/>
          <w:lang w:val="en-US" w:eastAsia="zh-CN"/>
        </w:rPr>
        <w:t>0.21</w:t>
      </w:r>
      <w:r>
        <w:rPr>
          <w:rFonts w:hint="eastAsia" w:asciiTheme="minorEastAsia" w:hAnsiTheme="minorEastAsia" w:eastAsiaTheme="minorEastAsia" w:cstheme="minorEastAsia"/>
          <w:color w:val="333333"/>
          <w:sz w:val="24"/>
          <w:szCs w:val="24"/>
          <w:shd w:val="clear" w:fill="FFFFFF"/>
        </w:rPr>
        <w:t>亿千瓦小时，占全社会用电量</w:t>
      </w:r>
      <w:r>
        <w:rPr>
          <w:rFonts w:hint="eastAsia" w:asciiTheme="minorEastAsia" w:hAnsiTheme="minorEastAsia" w:eastAsiaTheme="minorEastAsia" w:cstheme="minorEastAsia"/>
          <w:color w:val="333333"/>
          <w:sz w:val="24"/>
          <w:szCs w:val="24"/>
          <w:shd w:val="clear" w:fill="FFFFFF"/>
          <w:lang w:eastAsia="zh-CN"/>
        </w:rPr>
        <w:t>的比重为</w:t>
      </w:r>
      <w:r>
        <w:rPr>
          <w:rFonts w:hint="eastAsia" w:asciiTheme="minorEastAsia" w:hAnsiTheme="minorEastAsia" w:eastAsiaTheme="minorEastAsia" w:cstheme="minorEastAsia"/>
          <w:color w:val="333333"/>
          <w:sz w:val="24"/>
          <w:szCs w:val="24"/>
          <w:shd w:val="clear" w:fill="FFFFFF"/>
          <w:lang w:val="en-US" w:eastAsia="zh-CN"/>
        </w:rPr>
        <w:t xml:space="preserve">1.2 </w:t>
      </w:r>
      <w:r>
        <w:rPr>
          <w:rFonts w:hint="eastAsia" w:asciiTheme="minorEastAsia" w:hAnsiTheme="minorEastAsia" w:eastAsiaTheme="minorEastAsia" w:cstheme="minorEastAsia"/>
          <w:color w:val="333333"/>
          <w:sz w:val="24"/>
          <w:szCs w:val="24"/>
          <w:shd w:val="clear" w:fill="FFFFFF"/>
        </w:rPr>
        <w:t>%；第二产业用电量</w:t>
      </w:r>
      <w:r>
        <w:rPr>
          <w:rFonts w:hint="eastAsia" w:asciiTheme="minorEastAsia" w:hAnsiTheme="minorEastAsia" w:eastAsiaTheme="minorEastAsia" w:cstheme="minorEastAsia"/>
          <w:color w:val="333333"/>
          <w:sz w:val="24"/>
          <w:szCs w:val="24"/>
          <w:shd w:val="clear" w:fill="FFFFFF"/>
          <w:lang w:val="en-US" w:eastAsia="zh-CN"/>
        </w:rPr>
        <w:t>14.60</w:t>
      </w:r>
      <w:r>
        <w:rPr>
          <w:rFonts w:hint="eastAsia" w:asciiTheme="minorEastAsia" w:hAnsiTheme="minorEastAsia" w:eastAsiaTheme="minorEastAsia" w:cstheme="minorEastAsia"/>
          <w:color w:val="333333"/>
          <w:sz w:val="24"/>
          <w:szCs w:val="24"/>
          <w:shd w:val="clear" w:fill="FFFFFF"/>
        </w:rPr>
        <w:t>亿千瓦小时，占</w:t>
      </w:r>
      <w:r>
        <w:rPr>
          <w:rFonts w:hint="eastAsia" w:asciiTheme="minorEastAsia" w:hAnsiTheme="minorEastAsia" w:eastAsiaTheme="minorEastAsia" w:cstheme="minorEastAsia"/>
          <w:color w:val="333333"/>
          <w:sz w:val="24"/>
          <w:szCs w:val="24"/>
          <w:shd w:val="clear" w:fill="FFFFFF"/>
          <w:lang w:eastAsia="zh-CN"/>
        </w:rPr>
        <w:t>全社会用电量的比重为</w:t>
      </w:r>
      <w:r>
        <w:rPr>
          <w:rFonts w:hint="eastAsia" w:asciiTheme="minorEastAsia" w:hAnsiTheme="minorEastAsia" w:eastAsiaTheme="minorEastAsia" w:cstheme="minorEastAsia"/>
          <w:color w:val="333333"/>
          <w:sz w:val="24"/>
          <w:szCs w:val="24"/>
          <w:shd w:val="clear" w:fill="FFFFFF"/>
          <w:lang w:val="en-US" w:eastAsia="zh-CN"/>
        </w:rPr>
        <w:t>83.2</w:t>
      </w:r>
      <w:r>
        <w:rPr>
          <w:rFonts w:hint="eastAsia" w:asciiTheme="minorEastAsia" w:hAnsiTheme="minorEastAsia" w:eastAsiaTheme="minorEastAsia" w:cstheme="minorEastAsia"/>
          <w:color w:val="333333"/>
          <w:sz w:val="24"/>
          <w:szCs w:val="24"/>
          <w:shd w:val="clear" w:fill="FFFFFF"/>
        </w:rPr>
        <w:t>%，第二产业中工业用电量</w:t>
      </w:r>
      <w:r>
        <w:rPr>
          <w:rFonts w:hint="eastAsia" w:asciiTheme="minorEastAsia" w:hAnsiTheme="minorEastAsia" w:eastAsiaTheme="minorEastAsia" w:cstheme="minorEastAsia"/>
          <w:color w:val="333333"/>
          <w:sz w:val="24"/>
          <w:szCs w:val="24"/>
          <w:shd w:val="clear" w:fill="FFFFFF"/>
          <w:lang w:val="en-US" w:eastAsia="zh-CN"/>
        </w:rPr>
        <w:t>14.53</w:t>
      </w:r>
      <w:r>
        <w:rPr>
          <w:rFonts w:hint="eastAsia" w:asciiTheme="minorEastAsia" w:hAnsiTheme="minorEastAsia" w:eastAsiaTheme="minorEastAsia" w:cstheme="minorEastAsia"/>
          <w:color w:val="333333"/>
          <w:sz w:val="24"/>
          <w:szCs w:val="24"/>
          <w:shd w:val="clear" w:fill="FFFFFF"/>
        </w:rPr>
        <w:t>亿千瓦小时；第三产业用电量</w:t>
      </w:r>
      <w:r>
        <w:rPr>
          <w:rFonts w:hint="eastAsia" w:asciiTheme="minorEastAsia" w:hAnsiTheme="minorEastAsia" w:eastAsiaTheme="minorEastAsia" w:cstheme="minorEastAsia"/>
          <w:color w:val="333333"/>
          <w:sz w:val="24"/>
          <w:szCs w:val="24"/>
          <w:shd w:val="clear" w:fill="FFFFFF"/>
          <w:lang w:val="en-US" w:eastAsia="zh-CN"/>
        </w:rPr>
        <w:t>1.13</w:t>
      </w:r>
      <w:r>
        <w:rPr>
          <w:rFonts w:hint="eastAsia" w:asciiTheme="minorEastAsia" w:hAnsiTheme="minorEastAsia" w:eastAsiaTheme="minorEastAsia" w:cstheme="minorEastAsia"/>
          <w:color w:val="333333"/>
          <w:sz w:val="24"/>
          <w:szCs w:val="24"/>
          <w:shd w:val="clear" w:fill="FFFFFF"/>
        </w:rPr>
        <w:t>亿千瓦小时，占</w:t>
      </w:r>
      <w:r>
        <w:rPr>
          <w:rFonts w:hint="eastAsia" w:asciiTheme="minorEastAsia" w:hAnsiTheme="minorEastAsia" w:eastAsiaTheme="minorEastAsia" w:cstheme="minorEastAsia"/>
          <w:color w:val="333333"/>
          <w:sz w:val="24"/>
          <w:szCs w:val="24"/>
          <w:shd w:val="clear" w:fill="FFFFFF"/>
          <w:lang w:eastAsia="zh-CN"/>
        </w:rPr>
        <w:t>全社会用电量的比重为</w:t>
      </w:r>
      <w:r>
        <w:rPr>
          <w:rFonts w:hint="eastAsia" w:asciiTheme="minorEastAsia" w:hAnsiTheme="minorEastAsia" w:eastAsiaTheme="minorEastAsia" w:cstheme="minorEastAsia"/>
          <w:color w:val="333333"/>
          <w:sz w:val="24"/>
          <w:szCs w:val="24"/>
          <w:shd w:val="clear" w:fill="FFFFFF"/>
          <w:lang w:val="en-US" w:eastAsia="zh-CN"/>
        </w:rPr>
        <w:t>6.4</w:t>
      </w:r>
      <w:r>
        <w:rPr>
          <w:rFonts w:hint="eastAsia" w:asciiTheme="minorEastAsia" w:hAnsiTheme="minorEastAsia" w:eastAsiaTheme="minorEastAsia" w:cstheme="minorEastAsia"/>
          <w:color w:val="333333"/>
          <w:sz w:val="24"/>
          <w:szCs w:val="24"/>
          <w:shd w:val="clear" w:fill="FFFFFF"/>
        </w:rPr>
        <w:t>%；城乡居民生活用电量</w:t>
      </w:r>
      <w:r>
        <w:rPr>
          <w:rFonts w:hint="eastAsia" w:asciiTheme="minorEastAsia" w:hAnsiTheme="minorEastAsia" w:eastAsiaTheme="minorEastAsia" w:cstheme="minorEastAsia"/>
          <w:color w:val="333333"/>
          <w:sz w:val="24"/>
          <w:szCs w:val="24"/>
          <w:shd w:val="clear" w:fill="FFFFFF"/>
          <w:lang w:val="en-US" w:eastAsia="zh-CN"/>
        </w:rPr>
        <w:t>1.62</w:t>
      </w:r>
      <w:r>
        <w:rPr>
          <w:rFonts w:hint="eastAsia" w:asciiTheme="minorEastAsia" w:hAnsiTheme="minorEastAsia" w:eastAsiaTheme="minorEastAsia" w:cstheme="minorEastAsia"/>
          <w:color w:val="333333"/>
          <w:sz w:val="24"/>
          <w:szCs w:val="24"/>
          <w:shd w:val="clear" w:fill="FFFFFF"/>
        </w:rPr>
        <w:t>亿千瓦小时，占</w:t>
      </w:r>
      <w:r>
        <w:rPr>
          <w:rFonts w:hint="eastAsia" w:asciiTheme="minorEastAsia" w:hAnsiTheme="minorEastAsia" w:eastAsiaTheme="minorEastAsia" w:cstheme="minorEastAsia"/>
          <w:color w:val="333333"/>
          <w:sz w:val="24"/>
          <w:szCs w:val="24"/>
          <w:shd w:val="clear" w:fill="FFFFFF"/>
          <w:lang w:eastAsia="zh-CN"/>
        </w:rPr>
        <w:t>全社会用电量的比重为</w:t>
      </w:r>
      <w:r>
        <w:rPr>
          <w:rFonts w:hint="eastAsia" w:asciiTheme="minorEastAsia" w:hAnsiTheme="minorEastAsia" w:eastAsiaTheme="minorEastAsia" w:cstheme="minorEastAsia"/>
          <w:color w:val="333333"/>
          <w:sz w:val="24"/>
          <w:szCs w:val="24"/>
          <w:shd w:val="clear" w:fill="FFFFFF"/>
          <w:lang w:val="en-US" w:eastAsia="zh-CN"/>
        </w:rPr>
        <w:t>9.2</w:t>
      </w:r>
      <w:r>
        <w:rPr>
          <w:rFonts w:hint="eastAsia" w:asciiTheme="minorEastAsia" w:hAnsiTheme="minorEastAsia" w:eastAsiaTheme="minorEastAsia" w:cstheme="minorEastAsia"/>
          <w:color w:val="333333"/>
          <w:sz w:val="24"/>
          <w:szCs w:val="24"/>
          <w:shd w:val="clear" w:fill="FFFFFF"/>
        </w:rPr>
        <w:t xml:space="preserve">%。 </w:t>
      </w:r>
    </w:p>
    <w:p w14:paraId="58E080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rPr>
        <w:t>五、固定资产投资</w:t>
      </w:r>
    </w:p>
    <w:p w14:paraId="0FE498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全年全</w:t>
      </w:r>
      <w:r>
        <w:rPr>
          <w:rFonts w:hint="eastAsia" w:asciiTheme="minorEastAsia" w:hAnsiTheme="minorEastAsia" w:eastAsiaTheme="minorEastAsia" w:cstheme="minorEastAsia"/>
          <w:color w:val="auto"/>
          <w:sz w:val="24"/>
          <w:szCs w:val="24"/>
          <w:shd w:val="clear" w:fill="FFFFFF"/>
          <w:lang w:val="en-US" w:eastAsia="zh-CN"/>
        </w:rPr>
        <w:t>县</w:t>
      </w:r>
      <w:r>
        <w:rPr>
          <w:rFonts w:hint="eastAsia" w:asciiTheme="minorEastAsia" w:hAnsiTheme="minorEastAsia" w:eastAsiaTheme="minorEastAsia" w:cstheme="minorEastAsia"/>
          <w:color w:val="auto"/>
          <w:sz w:val="24"/>
          <w:szCs w:val="24"/>
          <w:shd w:val="clear" w:fill="FFFFFF"/>
        </w:rPr>
        <w:t>固定资产投资（不含跨市、农户）完成</w:t>
      </w:r>
      <w:r>
        <w:rPr>
          <w:rFonts w:hint="eastAsia" w:asciiTheme="minorEastAsia" w:hAnsiTheme="minorEastAsia" w:eastAsiaTheme="minorEastAsia" w:cstheme="minorEastAsia"/>
          <w:color w:val="auto"/>
          <w:sz w:val="24"/>
          <w:szCs w:val="24"/>
          <w:shd w:val="clear" w:fill="FFFFFF"/>
          <w:lang w:val="en-US" w:eastAsia="zh-CN"/>
        </w:rPr>
        <w:t>383604万</w:t>
      </w:r>
      <w:r>
        <w:rPr>
          <w:rFonts w:hint="eastAsia" w:asciiTheme="minorEastAsia" w:hAnsiTheme="minorEastAsia" w:eastAsiaTheme="minorEastAsia" w:cstheme="minorEastAsia"/>
          <w:color w:val="auto"/>
          <w:sz w:val="24"/>
          <w:szCs w:val="24"/>
          <w:shd w:val="clear" w:fill="FFFFFF"/>
        </w:rPr>
        <w:t>元，同比增长</w:t>
      </w:r>
      <w:r>
        <w:rPr>
          <w:rFonts w:hint="eastAsia" w:asciiTheme="minorEastAsia" w:hAnsiTheme="minorEastAsia" w:eastAsiaTheme="minorEastAsia" w:cstheme="minorEastAsia"/>
          <w:color w:val="auto"/>
          <w:sz w:val="24"/>
          <w:szCs w:val="24"/>
          <w:shd w:val="clear" w:fill="FFFFFF"/>
          <w:lang w:val="en-US" w:eastAsia="zh-CN"/>
        </w:rPr>
        <w:t>3.8</w:t>
      </w:r>
      <w:r>
        <w:rPr>
          <w:rFonts w:hint="eastAsia" w:asciiTheme="minorEastAsia" w:hAnsiTheme="minorEastAsia" w:eastAsiaTheme="minorEastAsia" w:cstheme="minorEastAsia"/>
          <w:color w:val="auto"/>
          <w:sz w:val="24"/>
          <w:szCs w:val="24"/>
          <w:shd w:val="clear" w:fill="FFFFFF"/>
        </w:rPr>
        <w:t>%。</w:t>
      </w:r>
    </w:p>
    <w:p w14:paraId="4DAF34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kern w:val="0"/>
          <w:sz w:val="24"/>
          <w:szCs w:val="24"/>
          <w:shd w:val="clear" w:fill="FFFFFF"/>
          <w:lang w:val="en-US" w:eastAsia="zh-CN" w:bidi="ar"/>
        </w:rPr>
      </w:pPr>
      <w:r>
        <w:rPr>
          <w:rFonts w:hint="eastAsia" w:asciiTheme="minorEastAsia" w:hAnsiTheme="minorEastAsia" w:eastAsiaTheme="minorEastAsia" w:cstheme="minorEastAsia"/>
          <w:color w:val="auto"/>
          <w:kern w:val="0"/>
          <w:sz w:val="24"/>
          <w:szCs w:val="24"/>
          <w:shd w:val="clear" w:fill="FFFFFF"/>
          <w:lang w:val="en-US" w:eastAsia="zh-CN" w:bidi="ar"/>
        </w:rPr>
        <w:t>在固定资产投资中，国有及国有控股投资205306万元，同比增长 56.9 %；民间投资161535万元，同比下降26.6%。</w:t>
      </w:r>
    </w:p>
    <w:p w14:paraId="6ACF9F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shd w:val="clear" w:fill="FFFFFF"/>
          <w:lang w:val="en-US" w:eastAsia="zh-CN" w:bidi="ar"/>
        </w:rPr>
        <w:t xml:space="preserve">分登记注册类型看，内资企业和个体经营投资330854万元，同比增长4.8%；外商及港澳台商企业投资52200万元，同比增长1%。 </w:t>
      </w:r>
    </w:p>
    <w:p w14:paraId="1722F9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shd w:val="clear" w:fill="FFFFFF"/>
          <w:lang w:val="en-US" w:eastAsia="zh-CN" w:bidi="ar"/>
        </w:rPr>
        <w:t xml:space="preserve">分产业看，第一产业完成投资10706万元，同比下降45.5 %；第二产业完成投资 210065万元，同比下降 7.2%；第三产业完成投资 162833万元，同比增长 32%。 </w:t>
      </w:r>
    </w:p>
    <w:p w14:paraId="786DAB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kern w:val="0"/>
          <w:sz w:val="24"/>
          <w:szCs w:val="24"/>
          <w:shd w:val="clear" w:fill="FFFFFF"/>
          <w:lang w:val="en-US" w:eastAsia="zh-CN" w:bidi="ar"/>
        </w:rPr>
      </w:pPr>
      <w:r>
        <w:rPr>
          <w:rFonts w:hint="eastAsia" w:asciiTheme="minorEastAsia" w:hAnsiTheme="minorEastAsia" w:eastAsiaTheme="minorEastAsia" w:cstheme="minorEastAsia"/>
          <w:color w:val="auto"/>
          <w:kern w:val="0"/>
          <w:sz w:val="24"/>
          <w:szCs w:val="24"/>
          <w:shd w:val="clear" w:fill="FFFFFF"/>
          <w:lang w:val="en-US" w:eastAsia="zh-CN" w:bidi="ar"/>
        </w:rPr>
        <w:t xml:space="preserve">全县工业投资 210065万元，同比下降45.5%。在工业投资中，煤炭工业投资 95195万元，同比下降37 %,非煤工业投资 114870万元，同比增长52.3 %；传统产业（煤炭、焦炭、冶金、电力）投资合计140073万元，同比下降31.4%,非传统产业投资合计69992万元，同比下降 66.5 %。 </w:t>
      </w:r>
    </w:p>
    <w:p w14:paraId="79114C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right="0" w:firstLine="482" w:firstLineChars="200"/>
        <w:jc w:val="center"/>
        <w:textAlignment w:val="auto"/>
        <w:rPr>
          <w:rFonts w:hint="eastAsia" w:asciiTheme="minorEastAsia" w:hAnsiTheme="minorEastAsia" w:eastAsiaTheme="minorEastAsia" w:cstheme="minorEastAsia"/>
          <w:color w:val="auto"/>
          <w:kern w:val="0"/>
          <w:sz w:val="24"/>
          <w:szCs w:val="24"/>
          <w:shd w:val="clear" w:fill="FFFFFF"/>
          <w:lang w:val="en-US" w:eastAsia="zh-CN" w:bidi="ar"/>
        </w:rPr>
      </w:pPr>
      <w:r>
        <w:rPr>
          <w:rFonts w:hint="eastAsia" w:asciiTheme="minorEastAsia" w:hAnsiTheme="minorEastAsia" w:eastAsiaTheme="minorEastAsia" w:cstheme="minorEastAsia"/>
          <w:b/>
          <w:bCs/>
          <w:color w:val="auto"/>
          <w:kern w:val="0"/>
          <w:sz w:val="24"/>
          <w:szCs w:val="24"/>
          <w:shd w:val="clear" w:fill="FFFFFF"/>
          <w:lang w:val="en-US" w:eastAsia="zh-CN" w:bidi="ar"/>
        </w:rPr>
        <w:t>图5   2015-2019年固定资产投资及其增长速度</w:t>
      </w:r>
    </w:p>
    <w:p w14:paraId="7C4B2E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g">
            <w:drawing>
              <wp:inline distT="0" distB="0" distL="114300" distR="114300">
                <wp:extent cx="5181600" cy="3324860"/>
                <wp:effectExtent l="4445" t="4445" r="14605" b="23495"/>
                <wp:docPr id="7" name="组合 5"/>
                <wp:cNvGraphicFramePr/>
                <a:graphic xmlns:a="http://schemas.openxmlformats.org/drawingml/2006/main">
                  <a:graphicData uri="http://schemas.microsoft.com/office/word/2010/wordprocessingGroup">
                    <wpg:wgp>
                      <wpg:cNvGrpSpPr/>
                      <wpg:grpSpPr>
                        <a:xfrm>
                          <a:off x="0" y="0"/>
                          <a:ext cx="5181600" cy="3324860"/>
                          <a:chOff x="4535" y="2500"/>
                          <a:chExt cx="8435" cy="4875"/>
                        </a:xfrm>
                      </wpg:grpSpPr>
                      <wpg:graphicFrame>
                        <wpg:cNvPr id="72815" name="图表 3"/>
                        <wpg:cNvFrPr/>
                        <wpg:xfrm>
                          <a:off x="4535" y="2500"/>
                          <a:ext cx="8435" cy="4875"/>
                        </wpg:xfrm>
                        <a:graphic>
                          <a:graphicData uri="http://schemas.openxmlformats.org/drawingml/2006/chart">
                            <c:chart xmlns:c="http://schemas.openxmlformats.org/drawingml/2006/chart" xmlns:r="http://schemas.openxmlformats.org/officeDocument/2006/relationships" r:id="rId10"/>
                          </a:graphicData>
                        </a:graphic>
                      </wpg:graphicFrame>
                      <wps:wsp>
                        <wps:cNvPr id="28" name="文本框 4"/>
                        <wps:cNvSpPr txBox="1"/>
                        <wps:spPr>
                          <a:xfrm>
                            <a:off x="12414" y="2590"/>
                            <a:ext cx="525" cy="390"/>
                          </a:xfrm>
                          <a:prstGeom prst="rect">
                            <a:avLst/>
                          </a:prstGeom>
                          <a:ln>
                            <a:noFill/>
                          </a:ln>
                        </wps:spPr>
                        <wps:txbx>
                          <w:txbxContent>
                            <w:p w14:paraId="2A888603">
                              <w:pPr>
                                <w:pStyle w:val="5"/>
                                <w:kinsoku/>
                                <w:ind w:left="0"/>
                                <w:jc w:val="left"/>
                              </w:pPr>
                              <w:r>
                                <w:rPr>
                                  <w:rFonts w:asciiTheme="minorAscii" w:hAnsiTheme="minorBidi" w:eastAsiaTheme="minorEastAsia"/>
                                  <w:color w:val="000000" w:themeColor="text1"/>
                                  <w:kern w:val="24"/>
                                  <w:sz w:val="22"/>
                                  <w:szCs w:val="22"/>
                                  <w14:textFill>
                                    <w14:solidFill>
                                      <w14:schemeClr w14:val="tx1"/>
                                    </w14:solidFill>
                                  </w14:textFill>
                                </w:rPr>
                                <w:t>%</w:t>
                              </w:r>
                            </w:p>
                          </w:txbxContent>
                        </wps:txbx>
                        <wps:bodyPr vertOverflow="clip" horzOverflow="clip" wrap="square" rtlCol="0" anchor="t"/>
                      </wps:wsp>
                    </wpg:wgp>
                  </a:graphicData>
                </a:graphic>
              </wp:inline>
            </w:drawing>
          </mc:Choice>
          <mc:Fallback>
            <w:pict>
              <v:group id="组合 5" o:spid="_x0000_s1026" o:spt="203" style="height:261.8pt;width:408pt;" coordorigin="4535,2500" coordsize="8435,4875" o:gfxdata="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&#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">
                <o:lock v:ext="edit" aspectratio="f"/>
                <v:rect id="图表 3" o:spid="_x0000_s1026" o:spt="75" style="position:absolute;left:4527;top:2493;height:4889;width:8451;" coordsize="21600,21600" o:gfxdata="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al+zvQAA&#10;AN4AAAAPAAAAAAAAAAEAIAAAACIAAABkcnMvZG93bnJldi54bWxQSwECFAAUAAAACACHTuJAMy8F&#10;njsAAAA5AAAAEAAAAAAAAAABACAAAAAMAQAAZHJzL3NoYXBleG1sLnhtbFBLBQYAAAAABgAGAFsB&#10;AAC2AwAAAAA=&#10;">
                  <v:imagedata r:id="rId11" o:title=""/>
                  <o:lock v:ext="edit"/>
                </v:rect>
                <v:shape id="文本框 4" o:spid="_x0000_s1026" o:spt="202" type="#_x0000_t202" style="position:absolute;left:12414;top:2590;height:390;width:525;"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2A888603">
                        <w:pPr>
                          <w:pStyle w:val="5"/>
                          <w:kinsoku/>
                          <w:ind w:left="0"/>
                          <w:jc w:val="left"/>
                        </w:pPr>
                        <w:r>
                          <w:rPr>
                            <w:rFonts w:asciiTheme="minorAscii" w:hAnsiTheme="minorBidi" w:eastAsiaTheme="minorEastAsia"/>
                            <w:color w:val="000000" w:themeColor="text1"/>
                            <w:kern w:val="24"/>
                            <w:sz w:val="22"/>
                            <w:szCs w:val="22"/>
                            <w14:textFill>
                              <w14:solidFill>
                                <w14:schemeClr w14:val="tx1"/>
                              </w14:solidFill>
                            </w14:textFill>
                          </w:rPr>
                          <w:t>%</w:t>
                        </w:r>
                      </w:p>
                    </w:txbxContent>
                  </v:textbox>
                </v:shape>
                <w10:wrap type="none"/>
                <w10:anchorlock/>
              </v:group>
            </w:pict>
          </mc:Fallback>
        </mc:AlternateContent>
      </w:r>
      <w:r>
        <w:rPr>
          <w:rFonts w:hint="eastAsia" w:asciiTheme="minorEastAsia" w:hAnsiTheme="minorEastAsia" w:eastAsiaTheme="minorEastAsia" w:cstheme="minorEastAsia"/>
          <w:color w:val="333333"/>
          <w:kern w:val="0"/>
          <w:sz w:val="24"/>
          <w:szCs w:val="24"/>
          <w:shd w:val="clear" w:fill="FFFFFF"/>
          <w:lang w:val="en-US" w:eastAsia="zh-CN" w:bidi="ar"/>
        </w:rPr>
        <w:t xml:space="preserve"> </w:t>
      </w:r>
    </w:p>
    <w:p w14:paraId="6BCDCA05">
      <w:pPr>
        <w:keepNext w:val="0"/>
        <w:keepLines w:val="0"/>
        <w:pageBreakBefore w:val="0"/>
        <w:widowControl/>
        <w:kinsoku/>
        <w:wordWrap/>
        <w:overflowPunct/>
        <w:topLinePunct w:val="0"/>
        <w:autoSpaceDE/>
        <w:autoSpaceDN/>
        <w:bidi w:val="0"/>
        <w:adjustRightInd/>
        <w:snapToGrid/>
        <w:spacing w:before="313" w:beforeLines="100" w:after="313" w:afterLines="100" w:line="360" w:lineRule="auto"/>
        <w:ind w:firstLine="482" w:firstLineChars="200"/>
        <w:jc w:val="both"/>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 xml:space="preserve">表6 </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b/>
          <w:bCs/>
          <w:color w:val="333333"/>
          <w:kern w:val="0"/>
          <w:sz w:val="24"/>
          <w:szCs w:val="24"/>
          <w:shd w:val="clear" w:color="auto" w:fill="FFFFFF"/>
          <w:lang w:bidi="ar"/>
        </w:rPr>
        <w:t>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年分行业固定资产投资（不含跨县、农户）及其增长速度</w:t>
      </w:r>
    </w:p>
    <w:tbl>
      <w:tblPr>
        <w:tblStyle w:val="6"/>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7"/>
        <w:gridCol w:w="2051"/>
        <w:gridCol w:w="2052"/>
      </w:tblGrid>
      <w:tr w14:paraId="101A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4537" w:type="dxa"/>
            <w:tcBorders>
              <w:top w:val="single" w:color="auto" w:sz="12" w:space="0"/>
              <w:left w:val="nil"/>
              <w:bottom w:val="single" w:color="auto" w:sz="8" w:space="0"/>
              <w:right w:val="single" w:color="auto" w:sz="8" w:space="0"/>
            </w:tcBorders>
            <w:noWrap w:val="0"/>
            <w:vAlign w:val="center"/>
          </w:tcPr>
          <w:p w14:paraId="2FF53F35">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行     业</w:t>
            </w:r>
          </w:p>
        </w:tc>
        <w:tc>
          <w:tcPr>
            <w:tcW w:w="2051" w:type="dxa"/>
            <w:tcBorders>
              <w:top w:val="single" w:color="auto" w:sz="12" w:space="0"/>
              <w:left w:val="single" w:color="auto" w:sz="8" w:space="0"/>
              <w:bottom w:val="single" w:color="auto" w:sz="8" w:space="0"/>
              <w:right w:val="single" w:color="auto" w:sz="8" w:space="0"/>
            </w:tcBorders>
            <w:noWrap w:val="0"/>
            <w:vAlign w:val="center"/>
          </w:tcPr>
          <w:p w14:paraId="70A9FE05">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投资额（万元）</w:t>
            </w:r>
          </w:p>
        </w:tc>
        <w:tc>
          <w:tcPr>
            <w:tcW w:w="2052" w:type="dxa"/>
            <w:tcBorders>
              <w:top w:val="single" w:color="auto" w:sz="12" w:space="0"/>
              <w:left w:val="single" w:color="auto" w:sz="8" w:space="0"/>
              <w:bottom w:val="single" w:color="auto" w:sz="8" w:space="0"/>
              <w:right w:val="nil"/>
            </w:tcBorders>
            <w:noWrap w:val="0"/>
            <w:vAlign w:val="center"/>
          </w:tcPr>
          <w:p w14:paraId="350FD7DC">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比上年增长（%）</w:t>
            </w:r>
          </w:p>
        </w:tc>
      </w:tr>
      <w:tr w14:paraId="79D8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single" w:color="auto" w:sz="8" w:space="0"/>
              <w:left w:val="nil"/>
              <w:bottom w:val="nil"/>
              <w:right w:val="single" w:color="auto" w:sz="8" w:space="0"/>
            </w:tcBorders>
            <w:noWrap w:val="0"/>
            <w:vAlign w:val="center"/>
          </w:tcPr>
          <w:p w14:paraId="63154FF4">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总    计</w:t>
            </w:r>
          </w:p>
        </w:tc>
        <w:tc>
          <w:tcPr>
            <w:tcW w:w="2051" w:type="dxa"/>
            <w:tcBorders>
              <w:top w:val="single" w:color="auto" w:sz="8" w:space="0"/>
              <w:left w:val="single" w:color="auto" w:sz="8" w:space="0"/>
              <w:bottom w:val="nil"/>
              <w:right w:val="single" w:color="auto" w:sz="8" w:space="0"/>
            </w:tcBorders>
            <w:noWrap w:val="0"/>
            <w:vAlign w:val="center"/>
          </w:tcPr>
          <w:p w14:paraId="13D82EF3">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333195</w:t>
            </w:r>
          </w:p>
        </w:tc>
        <w:tc>
          <w:tcPr>
            <w:tcW w:w="2052" w:type="dxa"/>
            <w:tcBorders>
              <w:top w:val="single" w:color="auto" w:sz="8" w:space="0"/>
              <w:left w:val="single" w:color="auto" w:sz="8" w:space="0"/>
              <w:bottom w:val="nil"/>
              <w:right w:val="nil"/>
            </w:tcBorders>
            <w:noWrap w:val="0"/>
            <w:vAlign w:val="center"/>
          </w:tcPr>
          <w:p w14:paraId="17931E92">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-10</w:t>
            </w:r>
          </w:p>
        </w:tc>
      </w:tr>
      <w:tr w14:paraId="75F9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14:paraId="4A1426C4">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农林牧渔业</w:t>
            </w:r>
          </w:p>
        </w:tc>
        <w:tc>
          <w:tcPr>
            <w:tcW w:w="2051" w:type="dxa"/>
            <w:tcBorders>
              <w:top w:val="nil"/>
              <w:left w:val="single" w:color="auto" w:sz="8" w:space="0"/>
              <w:bottom w:val="nil"/>
              <w:right w:val="single" w:color="auto" w:sz="8" w:space="0"/>
            </w:tcBorders>
            <w:noWrap w:val="0"/>
            <w:vAlign w:val="center"/>
          </w:tcPr>
          <w:p w14:paraId="0CE36337">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10706</w:t>
            </w:r>
          </w:p>
        </w:tc>
        <w:tc>
          <w:tcPr>
            <w:tcW w:w="2052" w:type="dxa"/>
            <w:tcBorders>
              <w:top w:val="nil"/>
              <w:left w:val="single" w:color="auto" w:sz="8" w:space="0"/>
              <w:bottom w:val="nil"/>
              <w:right w:val="nil"/>
            </w:tcBorders>
            <w:noWrap w:val="0"/>
            <w:vAlign w:val="center"/>
          </w:tcPr>
          <w:p w14:paraId="27F45F0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-45.5</w:t>
            </w:r>
          </w:p>
        </w:tc>
      </w:tr>
      <w:tr w14:paraId="4BE0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14:paraId="2F4CBFF4">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采矿业</w:t>
            </w:r>
          </w:p>
        </w:tc>
        <w:tc>
          <w:tcPr>
            <w:tcW w:w="2051" w:type="dxa"/>
            <w:tcBorders>
              <w:top w:val="nil"/>
              <w:left w:val="single" w:color="auto" w:sz="8" w:space="0"/>
              <w:bottom w:val="nil"/>
              <w:right w:val="single" w:color="auto" w:sz="8" w:space="0"/>
            </w:tcBorders>
            <w:noWrap w:val="0"/>
            <w:vAlign w:val="center"/>
          </w:tcPr>
          <w:p w14:paraId="4E12CDE5">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151162</w:t>
            </w:r>
          </w:p>
        </w:tc>
        <w:tc>
          <w:tcPr>
            <w:tcW w:w="2052" w:type="dxa"/>
            <w:tcBorders>
              <w:top w:val="nil"/>
              <w:left w:val="single" w:color="auto" w:sz="8" w:space="0"/>
              <w:bottom w:val="nil"/>
              <w:right w:val="nil"/>
            </w:tcBorders>
            <w:noWrap w:val="0"/>
            <w:vAlign w:val="center"/>
          </w:tcPr>
          <w:p w14:paraId="79A20772">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0.1</w:t>
            </w:r>
          </w:p>
        </w:tc>
      </w:tr>
      <w:tr w14:paraId="1EFB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14:paraId="2CDCDA55">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制造业</w:t>
            </w:r>
          </w:p>
        </w:tc>
        <w:tc>
          <w:tcPr>
            <w:tcW w:w="2051" w:type="dxa"/>
            <w:tcBorders>
              <w:top w:val="nil"/>
              <w:left w:val="single" w:color="auto" w:sz="8" w:space="0"/>
              <w:bottom w:val="nil"/>
              <w:right w:val="single" w:color="auto" w:sz="8" w:space="0"/>
            </w:tcBorders>
            <w:noWrap w:val="0"/>
            <w:vAlign w:val="center"/>
          </w:tcPr>
          <w:p w14:paraId="158B86BC">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4362</w:t>
            </w:r>
          </w:p>
        </w:tc>
        <w:tc>
          <w:tcPr>
            <w:tcW w:w="2052" w:type="dxa"/>
            <w:tcBorders>
              <w:top w:val="nil"/>
              <w:left w:val="single" w:color="auto" w:sz="8" w:space="0"/>
              <w:bottom w:val="nil"/>
              <w:right w:val="nil"/>
            </w:tcBorders>
            <w:noWrap w:val="0"/>
            <w:vAlign w:val="center"/>
          </w:tcPr>
          <w:p w14:paraId="4C6F219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-79.5</w:t>
            </w:r>
          </w:p>
        </w:tc>
      </w:tr>
      <w:tr w14:paraId="405A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14:paraId="7C6D9D40">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电力、热力、燃所及水生产和供应业</w:t>
            </w:r>
          </w:p>
        </w:tc>
        <w:tc>
          <w:tcPr>
            <w:tcW w:w="2051" w:type="dxa"/>
            <w:tcBorders>
              <w:top w:val="nil"/>
              <w:left w:val="single" w:color="auto" w:sz="8" w:space="0"/>
              <w:bottom w:val="nil"/>
              <w:right w:val="single" w:color="auto" w:sz="8" w:space="0"/>
            </w:tcBorders>
            <w:noWrap w:val="0"/>
            <w:vAlign w:val="center"/>
          </w:tcPr>
          <w:p w14:paraId="2563D656">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54541</w:t>
            </w:r>
          </w:p>
        </w:tc>
        <w:tc>
          <w:tcPr>
            <w:tcW w:w="2052" w:type="dxa"/>
            <w:tcBorders>
              <w:top w:val="nil"/>
              <w:left w:val="single" w:color="auto" w:sz="8" w:space="0"/>
              <w:bottom w:val="nil"/>
              <w:right w:val="nil"/>
            </w:tcBorders>
            <w:noWrap w:val="0"/>
            <w:vAlign w:val="center"/>
          </w:tcPr>
          <w:p w14:paraId="5FD93B5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0.8</w:t>
            </w:r>
          </w:p>
        </w:tc>
      </w:tr>
      <w:tr w14:paraId="3CD6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14:paraId="173F0609">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交通运输、仓储和邮政业</w:t>
            </w:r>
          </w:p>
        </w:tc>
        <w:tc>
          <w:tcPr>
            <w:tcW w:w="2051" w:type="dxa"/>
            <w:tcBorders>
              <w:top w:val="nil"/>
              <w:left w:val="single" w:color="auto" w:sz="8" w:space="0"/>
              <w:bottom w:val="nil"/>
              <w:right w:val="single" w:color="auto" w:sz="8" w:space="0"/>
            </w:tcBorders>
            <w:noWrap w:val="0"/>
            <w:vAlign w:val="center"/>
          </w:tcPr>
          <w:p w14:paraId="3FBABA3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39566</w:t>
            </w:r>
          </w:p>
        </w:tc>
        <w:tc>
          <w:tcPr>
            <w:tcW w:w="2052" w:type="dxa"/>
            <w:tcBorders>
              <w:top w:val="nil"/>
              <w:left w:val="single" w:color="auto" w:sz="8" w:space="0"/>
              <w:bottom w:val="nil"/>
              <w:right w:val="nil"/>
            </w:tcBorders>
            <w:noWrap w:val="0"/>
            <w:vAlign w:val="center"/>
          </w:tcPr>
          <w:p w14:paraId="2A356FB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-12.2</w:t>
            </w:r>
          </w:p>
        </w:tc>
      </w:tr>
      <w:tr w14:paraId="3F28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14:paraId="0C0F004F">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eastAsia="zh-CN" w:bidi="ar"/>
              </w:rPr>
              <w:t>　公共管理和社会组织</w:t>
            </w:r>
          </w:p>
        </w:tc>
        <w:tc>
          <w:tcPr>
            <w:tcW w:w="2051" w:type="dxa"/>
            <w:tcBorders>
              <w:top w:val="nil"/>
              <w:left w:val="single" w:color="auto" w:sz="8" w:space="0"/>
              <w:bottom w:val="nil"/>
              <w:right w:val="single" w:color="auto" w:sz="8" w:space="0"/>
            </w:tcBorders>
            <w:noWrap w:val="0"/>
            <w:vAlign w:val="center"/>
          </w:tcPr>
          <w:p w14:paraId="2D1A6BA3">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6992</w:t>
            </w:r>
          </w:p>
        </w:tc>
        <w:tc>
          <w:tcPr>
            <w:tcW w:w="2052" w:type="dxa"/>
            <w:tcBorders>
              <w:top w:val="nil"/>
              <w:left w:val="single" w:color="auto" w:sz="8" w:space="0"/>
              <w:bottom w:val="nil"/>
              <w:right w:val="nil"/>
            </w:tcBorders>
            <w:noWrap w:val="0"/>
            <w:vAlign w:val="center"/>
          </w:tcPr>
          <w:p w14:paraId="148C0CC6">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254.2</w:t>
            </w:r>
          </w:p>
        </w:tc>
      </w:tr>
      <w:tr w14:paraId="76F5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14:paraId="7660C46E">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房地产业</w:t>
            </w:r>
          </w:p>
        </w:tc>
        <w:tc>
          <w:tcPr>
            <w:tcW w:w="2051" w:type="dxa"/>
            <w:tcBorders>
              <w:top w:val="nil"/>
              <w:left w:val="single" w:color="auto" w:sz="8" w:space="0"/>
              <w:bottom w:val="nil"/>
              <w:right w:val="single" w:color="auto" w:sz="8" w:space="0"/>
            </w:tcBorders>
            <w:noWrap w:val="0"/>
            <w:vAlign w:val="center"/>
          </w:tcPr>
          <w:p w14:paraId="59E2EE9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48991</w:t>
            </w:r>
          </w:p>
        </w:tc>
        <w:tc>
          <w:tcPr>
            <w:tcW w:w="2052" w:type="dxa"/>
            <w:tcBorders>
              <w:top w:val="nil"/>
              <w:left w:val="single" w:color="auto" w:sz="8" w:space="0"/>
              <w:bottom w:val="nil"/>
              <w:right w:val="nil"/>
            </w:tcBorders>
            <w:noWrap w:val="0"/>
            <w:vAlign w:val="center"/>
          </w:tcPr>
          <w:p w14:paraId="7464547E">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64.2</w:t>
            </w:r>
          </w:p>
        </w:tc>
      </w:tr>
      <w:tr w14:paraId="121E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14:paraId="2B0A59F3">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水利、环境和公共设施管理业</w:t>
            </w:r>
          </w:p>
        </w:tc>
        <w:tc>
          <w:tcPr>
            <w:tcW w:w="2051" w:type="dxa"/>
            <w:tcBorders>
              <w:top w:val="nil"/>
              <w:left w:val="single" w:color="auto" w:sz="8" w:space="0"/>
              <w:bottom w:val="nil"/>
              <w:right w:val="single" w:color="auto" w:sz="8" w:space="0"/>
            </w:tcBorders>
            <w:noWrap w:val="0"/>
            <w:vAlign w:val="center"/>
          </w:tcPr>
          <w:p w14:paraId="2D071B1A">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12163</w:t>
            </w:r>
          </w:p>
        </w:tc>
        <w:tc>
          <w:tcPr>
            <w:tcW w:w="2052" w:type="dxa"/>
            <w:tcBorders>
              <w:top w:val="nil"/>
              <w:left w:val="single" w:color="auto" w:sz="8" w:space="0"/>
              <w:bottom w:val="nil"/>
              <w:right w:val="nil"/>
            </w:tcBorders>
            <w:noWrap w:val="0"/>
            <w:vAlign w:val="center"/>
          </w:tcPr>
          <w:p w14:paraId="5DF9EB35">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-37.7</w:t>
            </w:r>
          </w:p>
        </w:tc>
      </w:tr>
      <w:tr w14:paraId="5DE2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14:paraId="77B43384">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教 育</w:t>
            </w:r>
          </w:p>
        </w:tc>
        <w:tc>
          <w:tcPr>
            <w:tcW w:w="2051" w:type="dxa"/>
            <w:tcBorders>
              <w:top w:val="nil"/>
              <w:left w:val="single" w:color="auto" w:sz="8" w:space="0"/>
              <w:bottom w:val="nil"/>
              <w:right w:val="single" w:color="auto" w:sz="8" w:space="0"/>
            </w:tcBorders>
            <w:noWrap w:val="0"/>
            <w:vAlign w:val="center"/>
          </w:tcPr>
          <w:p w14:paraId="2CA692B7">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2570</w:t>
            </w:r>
          </w:p>
        </w:tc>
        <w:tc>
          <w:tcPr>
            <w:tcW w:w="2052" w:type="dxa"/>
            <w:tcBorders>
              <w:top w:val="nil"/>
              <w:left w:val="single" w:color="auto" w:sz="8" w:space="0"/>
              <w:bottom w:val="nil"/>
              <w:right w:val="nil"/>
            </w:tcBorders>
            <w:noWrap w:val="0"/>
            <w:vAlign w:val="center"/>
          </w:tcPr>
          <w:p w14:paraId="4EA71F9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-62.4</w:t>
            </w:r>
          </w:p>
        </w:tc>
      </w:tr>
      <w:tr w14:paraId="1F31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537" w:type="dxa"/>
            <w:tcBorders>
              <w:top w:val="nil"/>
              <w:left w:val="nil"/>
              <w:bottom w:val="nil"/>
              <w:right w:val="single" w:color="auto" w:sz="8" w:space="0"/>
            </w:tcBorders>
            <w:noWrap w:val="0"/>
            <w:vAlign w:val="center"/>
          </w:tcPr>
          <w:p w14:paraId="05EDC2D7">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卫生、社会工作</w:t>
            </w:r>
          </w:p>
        </w:tc>
        <w:tc>
          <w:tcPr>
            <w:tcW w:w="2051" w:type="dxa"/>
            <w:tcBorders>
              <w:top w:val="nil"/>
              <w:left w:val="single" w:color="auto" w:sz="8" w:space="0"/>
              <w:bottom w:val="nil"/>
              <w:right w:val="single" w:color="auto" w:sz="8" w:space="0"/>
            </w:tcBorders>
            <w:noWrap w:val="0"/>
            <w:vAlign w:val="center"/>
          </w:tcPr>
          <w:p w14:paraId="7023714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1238</w:t>
            </w:r>
          </w:p>
        </w:tc>
        <w:tc>
          <w:tcPr>
            <w:tcW w:w="2052" w:type="dxa"/>
            <w:tcBorders>
              <w:top w:val="nil"/>
              <w:left w:val="single" w:color="auto" w:sz="8" w:space="0"/>
              <w:bottom w:val="nil"/>
              <w:right w:val="nil"/>
            </w:tcBorders>
            <w:noWrap w:val="0"/>
            <w:vAlign w:val="center"/>
          </w:tcPr>
          <w:p w14:paraId="199C159A">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-68.7</w:t>
            </w:r>
          </w:p>
        </w:tc>
      </w:tr>
      <w:tr w14:paraId="75D3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4537" w:type="dxa"/>
            <w:tcBorders>
              <w:top w:val="nil"/>
              <w:left w:val="nil"/>
              <w:bottom w:val="single" w:color="auto" w:sz="12" w:space="0"/>
              <w:right w:val="single" w:color="auto" w:sz="8" w:space="0"/>
            </w:tcBorders>
            <w:noWrap w:val="0"/>
            <w:vAlign w:val="center"/>
          </w:tcPr>
          <w:p w14:paraId="57661279">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文化、体育和娱乐业</w:t>
            </w:r>
          </w:p>
        </w:tc>
        <w:tc>
          <w:tcPr>
            <w:tcW w:w="2051" w:type="dxa"/>
            <w:tcBorders>
              <w:top w:val="nil"/>
              <w:left w:val="single" w:color="auto" w:sz="8" w:space="0"/>
              <w:bottom w:val="single" w:color="auto" w:sz="12" w:space="0"/>
              <w:right w:val="single" w:color="auto" w:sz="8" w:space="0"/>
            </w:tcBorders>
            <w:noWrap w:val="0"/>
            <w:vAlign w:val="center"/>
          </w:tcPr>
          <w:p w14:paraId="4A993FCB">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904</w:t>
            </w:r>
          </w:p>
        </w:tc>
        <w:tc>
          <w:tcPr>
            <w:tcW w:w="2052" w:type="dxa"/>
            <w:tcBorders>
              <w:top w:val="nil"/>
              <w:left w:val="single" w:color="auto" w:sz="8" w:space="0"/>
              <w:bottom w:val="single" w:color="auto" w:sz="12" w:space="0"/>
              <w:right w:val="nil"/>
            </w:tcBorders>
            <w:noWrap w:val="0"/>
            <w:vAlign w:val="center"/>
          </w:tcPr>
          <w:p w14:paraId="375B70B6">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p>
        </w:tc>
      </w:tr>
    </w:tbl>
    <w:p w14:paraId="368EFF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全年全</w:t>
      </w:r>
      <w:r>
        <w:rPr>
          <w:rFonts w:hint="eastAsia" w:asciiTheme="minorEastAsia" w:hAnsiTheme="minorEastAsia" w:eastAsiaTheme="minorEastAsia" w:cstheme="minorEastAsia"/>
          <w:color w:val="auto"/>
          <w:sz w:val="24"/>
          <w:szCs w:val="24"/>
          <w:shd w:val="clear" w:fill="FFFFFF"/>
          <w:lang w:val="en-US" w:eastAsia="zh-CN"/>
        </w:rPr>
        <w:t>县</w:t>
      </w:r>
      <w:r>
        <w:rPr>
          <w:rFonts w:hint="eastAsia" w:asciiTheme="minorEastAsia" w:hAnsiTheme="minorEastAsia" w:eastAsiaTheme="minorEastAsia" w:cstheme="minorEastAsia"/>
          <w:color w:val="auto"/>
          <w:sz w:val="24"/>
          <w:szCs w:val="24"/>
          <w:shd w:val="clear" w:fill="FFFFFF"/>
        </w:rPr>
        <w:t>在库固定资产投资项目（不含房地产开发项目）</w:t>
      </w:r>
      <w:r>
        <w:rPr>
          <w:rFonts w:hint="eastAsia" w:asciiTheme="minorEastAsia" w:hAnsiTheme="minorEastAsia" w:eastAsiaTheme="minorEastAsia" w:cstheme="minorEastAsia"/>
          <w:color w:val="auto"/>
          <w:sz w:val="24"/>
          <w:szCs w:val="24"/>
          <w:shd w:val="clear" w:fill="FFFFFF"/>
          <w:lang w:val="en-US" w:eastAsia="zh-CN"/>
        </w:rPr>
        <w:t>107</w:t>
      </w:r>
      <w:r>
        <w:rPr>
          <w:rFonts w:hint="eastAsia" w:asciiTheme="minorEastAsia" w:hAnsiTheme="minorEastAsia" w:eastAsiaTheme="minorEastAsia" w:cstheme="minorEastAsia"/>
          <w:color w:val="auto"/>
          <w:sz w:val="24"/>
          <w:szCs w:val="24"/>
          <w:shd w:val="clear" w:fill="FFFFFF"/>
        </w:rPr>
        <w:t>个。其中，</w:t>
      </w:r>
      <w:r>
        <w:rPr>
          <w:rFonts w:hint="eastAsia" w:asciiTheme="minorEastAsia" w:hAnsiTheme="minorEastAsia" w:eastAsiaTheme="minorEastAsia" w:cstheme="minorEastAsia"/>
          <w:color w:val="auto"/>
          <w:sz w:val="24"/>
          <w:szCs w:val="24"/>
          <w:shd w:val="clear" w:fill="FFFFFF"/>
          <w:lang w:val="en-US" w:eastAsia="zh-CN"/>
        </w:rPr>
        <w:t>5000万以上项目39个，</w:t>
      </w:r>
      <w:r>
        <w:rPr>
          <w:rFonts w:hint="eastAsia" w:asciiTheme="minorEastAsia" w:hAnsiTheme="minorEastAsia" w:eastAsiaTheme="minorEastAsia" w:cstheme="minorEastAsia"/>
          <w:color w:val="auto"/>
          <w:sz w:val="24"/>
          <w:szCs w:val="24"/>
          <w:shd w:val="clear" w:fill="FFFFFF"/>
        </w:rPr>
        <w:t>亿元以上项目</w:t>
      </w:r>
      <w:r>
        <w:rPr>
          <w:rFonts w:hint="eastAsia" w:asciiTheme="minorEastAsia" w:hAnsiTheme="minorEastAsia" w:eastAsiaTheme="minorEastAsia" w:cstheme="minorEastAsia"/>
          <w:color w:val="auto"/>
          <w:sz w:val="24"/>
          <w:szCs w:val="24"/>
          <w:shd w:val="clear" w:fill="FFFFFF"/>
          <w:lang w:val="en-US" w:eastAsia="zh-CN"/>
        </w:rPr>
        <w:t xml:space="preserve"> 24</w:t>
      </w:r>
      <w:r>
        <w:rPr>
          <w:rFonts w:hint="eastAsia" w:asciiTheme="minorEastAsia" w:hAnsiTheme="minorEastAsia" w:eastAsiaTheme="minorEastAsia" w:cstheme="minorEastAsia"/>
          <w:color w:val="auto"/>
          <w:sz w:val="24"/>
          <w:szCs w:val="24"/>
          <w:shd w:val="clear" w:fill="FFFFFF"/>
        </w:rPr>
        <w:t>个，</w:t>
      </w:r>
      <w:r>
        <w:rPr>
          <w:rFonts w:hint="eastAsia" w:asciiTheme="minorEastAsia" w:hAnsiTheme="minorEastAsia" w:eastAsiaTheme="minorEastAsia" w:cstheme="minorEastAsia"/>
          <w:color w:val="auto"/>
          <w:sz w:val="24"/>
          <w:szCs w:val="24"/>
          <w:shd w:val="clear" w:fill="FFFFFF"/>
          <w:lang w:eastAsia="zh-CN"/>
        </w:rPr>
        <w:t>总投资</w:t>
      </w:r>
      <w:r>
        <w:rPr>
          <w:rFonts w:hint="eastAsia" w:asciiTheme="minorEastAsia" w:hAnsiTheme="minorEastAsia" w:eastAsiaTheme="minorEastAsia" w:cstheme="minorEastAsia"/>
          <w:color w:val="auto"/>
          <w:sz w:val="24"/>
          <w:szCs w:val="24"/>
          <w:shd w:val="clear" w:fill="FFFFFF"/>
          <w:lang w:val="en-US" w:eastAsia="zh-CN"/>
        </w:rPr>
        <w:t>1819134 万元，</w:t>
      </w:r>
      <w:r>
        <w:rPr>
          <w:rFonts w:hint="eastAsia" w:asciiTheme="minorEastAsia" w:hAnsiTheme="minorEastAsia" w:eastAsiaTheme="minorEastAsia" w:cstheme="minorEastAsia"/>
          <w:color w:val="auto"/>
          <w:sz w:val="24"/>
          <w:szCs w:val="24"/>
          <w:shd w:val="clear" w:fill="FFFFFF"/>
        </w:rPr>
        <w:t>完成投资</w:t>
      </w:r>
      <w:r>
        <w:rPr>
          <w:rFonts w:hint="eastAsia" w:asciiTheme="minorEastAsia" w:hAnsiTheme="minorEastAsia" w:eastAsiaTheme="minorEastAsia" w:cstheme="minorEastAsia"/>
          <w:color w:val="auto"/>
          <w:sz w:val="24"/>
          <w:szCs w:val="24"/>
          <w:shd w:val="clear" w:fill="FFFFFF"/>
          <w:lang w:val="en-US" w:eastAsia="zh-CN"/>
        </w:rPr>
        <w:t xml:space="preserve"> 258160万</w:t>
      </w:r>
      <w:r>
        <w:rPr>
          <w:rFonts w:hint="eastAsia" w:asciiTheme="minorEastAsia" w:hAnsiTheme="minorEastAsia" w:eastAsiaTheme="minorEastAsia" w:cstheme="minorEastAsia"/>
          <w:color w:val="auto"/>
          <w:sz w:val="24"/>
          <w:szCs w:val="24"/>
          <w:shd w:val="clear" w:fill="FFFFFF"/>
        </w:rPr>
        <w:t xml:space="preserve">元。 </w:t>
      </w:r>
    </w:p>
    <w:p w14:paraId="01D032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全年房地产开发投资</w:t>
      </w:r>
      <w:r>
        <w:rPr>
          <w:rFonts w:hint="eastAsia" w:asciiTheme="minorEastAsia" w:hAnsiTheme="minorEastAsia" w:eastAsiaTheme="minorEastAsia" w:cstheme="minorEastAsia"/>
          <w:color w:val="auto"/>
          <w:sz w:val="24"/>
          <w:szCs w:val="24"/>
          <w:shd w:val="clear" w:fill="FFFFFF"/>
          <w:lang w:val="en-US" w:eastAsia="zh-CN"/>
        </w:rPr>
        <w:t xml:space="preserve"> 17055万</w:t>
      </w:r>
      <w:r>
        <w:rPr>
          <w:rFonts w:hint="eastAsia" w:asciiTheme="minorEastAsia" w:hAnsiTheme="minorEastAsia" w:eastAsiaTheme="minorEastAsia" w:cstheme="minorEastAsia"/>
          <w:color w:val="auto"/>
          <w:sz w:val="24"/>
          <w:szCs w:val="24"/>
          <w:shd w:val="clear" w:fill="FFFFFF"/>
        </w:rPr>
        <w:t>元，同比下降</w:t>
      </w:r>
      <w:r>
        <w:rPr>
          <w:rFonts w:hint="eastAsia" w:asciiTheme="minorEastAsia" w:hAnsiTheme="minorEastAsia" w:eastAsiaTheme="minorEastAsia" w:cstheme="minorEastAsia"/>
          <w:color w:val="auto"/>
          <w:sz w:val="24"/>
          <w:szCs w:val="24"/>
          <w:shd w:val="clear" w:fill="FFFFFF"/>
          <w:lang w:val="en-US" w:eastAsia="zh-CN"/>
        </w:rPr>
        <w:t>5.4</w:t>
      </w:r>
      <w:r>
        <w:rPr>
          <w:rFonts w:hint="eastAsia" w:asciiTheme="minorEastAsia" w:hAnsiTheme="minorEastAsia" w:eastAsiaTheme="minorEastAsia" w:cstheme="minorEastAsia"/>
          <w:color w:val="auto"/>
          <w:sz w:val="24"/>
          <w:szCs w:val="24"/>
          <w:shd w:val="clear" w:fill="FFFFFF"/>
        </w:rPr>
        <w:t>%。其中，住宅投资</w:t>
      </w:r>
      <w:r>
        <w:rPr>
          <w:rFonts w:hint="eastAsia" w:asciiTheme="minorEastAsia" w:hAnsiTheme="minorEastAsia" w:eastAsiaTheme="minorEastAsia" w:cstheme="minorEastAsia"/>
          <w:color w:val="auto"/>
          <w:sz w:val="24"/>
          <w:szCs w:val="24"/>
          <w:shd w:val="clear" w:fill="FFFFFF"/>
          <w:lang w:val="en-US" w:eastAsia="zh-CN"/>
        </w:rPr>
        <w:t>5761万</w:t>
      </w:r>
      <w:r>
        <w:rPr>
          <w:rFonts w:hint="eastAsia" w:asciiTheme="minorEastAsia" w:hAnsiTheme="minorEastAsia" w:eastAsiaTheme="minorEastAsia" w:cstheme="minorEastAsia"/>
          <w:color w:val="auto"/>
          <w:sz w:val="24"/>
          <w:szCs w:val="24"/>
          <w:shd w:val="clear" w:fill="FFFFFF"/>
        </w:rPr>
        <w:t>元，同比下降</w:t>
      </w:r>
      <w:r>
        <w:rPr>
          <w:rFonts w:hint="eastAsia" w:asciiTheme="minorEastAsia" w:hAnsiTheme="minorEastAsia" w:eastAsiaTheme="minorEastAsia" w:cstheme="minorEastAsia"/>
          <w:color w:val="auto"/>
          <w:sz w:val="24"/>
          <w:szCs w:val="24"/>
          <w:shd w:val="clear" w:fill="FFFFFF"/>
          <w:lang w:val="en-US" w:eastAsia="zh-CN"/>
        </w:rPr>
        <w:t xml:space="preserve">52.9 </w:t>
      </w:r>
      <w:r>
        <w:rPr>
          <w:rFonts w:hint="eastAsia" w:asciiTheme="minorEastAsia" w:hAnsiTheme="minorEastAsia" w:eastAsiaTheme="minorEastAsia" w:cstheme="minorEastAsia"/>
          <w:color w:val="auto"/>
          <w:sz w:val="24"/>
          <w:szCs w:val="24"/>
          <w:shd w:val="clear" w:fill="FFFFFF"/>
        </w:rPr>
        <w:t>%；商业营业用房投资</w:t>
      </w:r>
      <w:r>
        <w:rPr>
          <w:rFonts w:hint="eastAsia" w:asciiTheme="minorEastAsia" w:hAnsiTheme="minorEastAsia" w:eastAsiaTheme="minorEastAsia" w:cstheme="minorEastAsia"/>
          <w:color w:val="auto"/>
          <w:sz w:val="24"/>
          <w:szCs w:val="24"/>
          <w:shd w:val="clear" w:fill="FFFFFF"/>
          <w:lang w:val="en-US" w:eastAsia="zh-CN"/>
        </w:rPr>
        <w:t xml:space="preserve"> 4940万</w:t>
      </w:r>
      <w:r>
        <w:rPr>
          <w:rFonts w:hint="eastAsia" w:asciiTheme="minorEastAsia" w:hAnsiTheme="minorEastAsia" w:eastAsiaTheme="minorEastAsia" w:cstheme="minorEastAsia"/>
          <w:color w:val="auto"/>
          <w:sz w:val="24"/>
          <w:szCs w:val="24"/>
          <w:shd w:val="clear" w:fill="FFFFFF"/>
        </w:rPr>
        <w:t>元，同比</w:t>
      </w:r>
      <w:r>
        <w:rPr>
          <w:rFonts w:hint="eastAsia" w:asciiTheme="minorEastAsia" w:hAnsiTheme="minorEastAsia" w:eastAsiaTheme="minorEastAsia" w:cstheme="minorEastAsia"/>
          <w:color w:val="auto"/>
          <w:sz w:val="24"/>
          <w:szCs w:val="24"/>
          <w:shd w:val="clear" w:fill="FFFFFF"/>
          <w:lang w:eastAsia="zh-CN"/>
        </w:rPr>
        <w:t>增长</w:t>
      </w:r>
      <w:r>
        <w:rPr>
          <w:rFonts w:hint="eastAsia" w:asciiTheme="minorEastAsia" w:hAnsiTheme="minorEastAsia" w:eastAsiaTheme="minorEastAsia" w:cstheme="minorEastAsia"/>
          <w:color w:val="auto"/>
          <w:sz w:val="24"/>
          <w:szCs w:val="24"/>
          <w:shd w:val="clear" w:fill="FFFFFF"/>
          <w:lang w:val="en-US" w:eastAsia="zh-CN"/>
        </w:rPr>
        <w:t>1207.4</w:t>
      </w:r>
      <w:r>
        <w:rPr>
          <w:rFonts w:hint="eastAsia" w:asciiTheme="minorEastAsia" w:hAnsiTheme="minorEastAsia" w:eastAsiaTheme="minorEastAsia" w:cstheme="minorEastAsia"/>
          <w:color w:val="auto"/>
          <w:sz w:val="24"/>
          <w:szCs w:val="24"/>
          <w:shd w:val="clear" w:fill="FFFFFF"/>
        </w:rPr>
        <w:t xml:space="preserve">%。 </w:t>
      </w:r>
    </w:p>
    <w:p w14:paraId="0B64E325">
      <w:pPr>
        <w:keepNext w:val="0"/>
        <w:keepLines w:val="0"/>
        <w:pageBreakBefore w:val="0"/>
        <w:widowControl/>
        <w:kinsoku/>
        <w:wordWrap/>
        <w:overflowPunct/>
        <w:topLinePunct w:val="0"/>
        <w:autoSpaceDE/>
        <w:autoSpaceDN/>
        <w:bidi w:val="0"/>
        <w:adjustRightInd/>
        <w:snapToGrid/>
        <w:spacing w:before="156" w:beforeLines="50" w:after="156" w:afterLines="50"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eastAsia="zh-CN" w:bidi="ar"/>
        </w:rPr>
      </w:pPr>
      <w:r>
        <w:rPr>
          <w:rFonts w:hint="eastAsia" w:asciiTheme="minorEastAsia" w:hAnsiTheme="minorEastAsia" w:eastAsiaTheme="minorEastAsia" w:cstheme="minorEastAsia"/>
          <w:b/>
          <w:bCs/>
          <w:color w:val="333333"/>
          <w:kern w:val="0"/>
          <w:sz w:val="24"/>
          <w:szCs w:val="24"/>
          <w:shd w:val="clear" w:color="auto" w:fill="FFFFFF"/>
          <w:lang w:bidi="ar"/>
        </w:rPr>
        <w:t>表</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7</w:t>
      </w:r>
      <w:r>
        <w:rPr>
          <w:rFonts w:hint="eastAsia" w:asciiTheme="minorEastAsia" w:hAnsiTheme="minorEastAsia" w:eastAsiaTheme="minorEastAsia" w:cstheme="minorEastAsia"/>
          <w:b/>
          <w:bCs/>
          <w:color w:val="333333"/>
          <w:kern w:val="0"/>
          <w:sz w:val="24"/>
          <w:szCs w:val="24"/>
          <w:shd w:val="clear" w:color="auto" w:fill="FFFFFF"/>
          <w:lang w:bidi="ar"/>
        </w:rPr>
        <w:t>  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年</w:t>
      </w:r>
      <w:r>
        <w:rPr>
          <w:rFonts w:hint="eastAsia" w:asciiTheme="minorEastAsia" w:hAnsiTheme="minorEastAsia" w:eastAsiaTheme="minorEastAsia" w:cstheme="minorEastAsia"/>
          <w:b/>
          <w:bCs/>
          <w:color w:val="333333"/>
          <w:kern w:val="0"/>
          <w:sz w:val="24"/>
          <w:szCs w:val="24"/>
          <w:shd w:val="clear" w:color="auto" w:fill="FFFFFF"/>
          <w:lang w:eastAsia="zh-CN" w:bidi="ar"/>
        </w:rPr>
        <w:t>房地产开发和销售情况</w:t>
      </w:r>
    </w:p>
    <w:tbl>
      <w:tblPr>
        <w:tblStyle w:val="6"/>
        <w:tblW w:w="8398" w:type="dxa"/>
        <w:tblInd w:w="0" w:type="dxa"/>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Layout w:type="fixed"/>
        <w:tblCellMar>
          <w:top w:w="0" w:type="dxa"/>
          <w:left w:w="108" w:type="dxa"/>
          <w:bottom w:w="0" w:type="dxa"/>
          <w:right w:w="108" w:type="dxa"/>
        </w:tblCellMar>
      </w:tblPr>
      <w:tblGrid>
        <w:gridCol w:w="3039"/>
        <w:gridCol w:w="1602"/>
        <w:gridCol w:w="1603"/>
        <w:gridCol w:w="2154"/>
      </w:tblGrid>
      <w:tr w14:paraId="2A6EBF68">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983" w:hRule="atLeast"/>
        </w:trPr>
        <w:tc>
          <w:tcPr>
            <w:tcW w:w="3039" w:type="dxa"/>
            <w:tcBorders>
              <w:top w:val="single" w:color="auto" w:sz="12" w:space="0"/>
              <w:bottom w:val="single" w:color="auto" w:sz="8" w:space="0"/>
              <w:right w:val="single" w:color="auto" w:sz="8" w:space="0"/>
            </w:tcBorders>
            <w:noWrap w:val="0"/>
            <w:vAlign w:val="center"/>
          </w:tcPr>
          <w:p w14:paraId="32306273">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eastAsia="zh-CN" w:bidi="ar"/>
              </w:rPr>
            </w:pPr>
            <w:r>
              <w:rPr>
                <w:rFonts w:hint="eastAsia" w:asciiTheme="minorEastAsia" w:hAnsiTheme="minorEastAsia" w:eastAsiaTheme="minorEastAsia" w:cstheme="minorEastAsia"/>
                <w:b/>
                <w:bCs/>
                <w:color w:val="333333"/>
                <w:kern w:val="0"/>
                <w:sz w:val="24"/>
                <w:szCs w:val="24"/>
                <w:shd w:val="clear" w:color="auto" w:fill="FFFFFF"/>
                <w:lang w:eastAsia="zh-CN" w:bidi="ar"/>
              </w:rPr>
              <w:t>指</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b/>
                <w:bCs/>
                <w:color w:val="333333"/>
                <w:kern w:val="0"/>
                <w:sz w:val="24"/>
                <w:szCs w:val="24"/>
                <w:shd w:val="clear" w:color="auto" w:fill="FFFFFF"/>
                <w:lang w:eastAsia="zh-CN" w:bidi="ar"/>
              </w:rPr>
              <w:t>标</w:t>
            </w:r>
          </w:p>
        </w:tc>
        <w:tc>
          <w:tcPr>
            <w:tcW w:w="1602" w:type="dxa"/>
            <w:tcBorders>
              <w:top w:val="single" w:color="auto" w:sz="12" w:space="0"/>
              <w:left w:val="single" w:color="auto" w:sz="8" w:space="0"/>
              <w:bottom w:val="single" w:color="auto" w:sz="8" w:space="0"/>
              <w:right w:val="single" w:color="auto" w:sz="8" w:space="0"/>
            </w:tcBorders>
            <w:noWrap w:val="0"/>
            <w:vAlign w:val="center"/>
          </w:tcPr>
          <w:p w14:paraId="01E638E2">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单  位</w:t>
            </w:r>
          </w:p>
        </w:tc>
        <w:tc>
          <w:tcPr>
            <w:tcW w:w="1603" w:type="dxa"/>
            <w:tcBorders>
              <w:top w:val="single" w:color="auto" w:sz="12" w:space="0"/>
              <w:left w:val="single" w:color="auto" w:sz="8" w:space="0"/>
              <w:bottom w:val="single" w:color="auto" w:sz="8" w:space="0"/>
              <w:right w:val="single" w:color="auto" w:sz="8" w:space="0"/>
            </w:tcBorders>
            <w:noWrap w:val="0"/>
            <w:vAlign w:val="center"/>
          </w:tcPr>
          <w:p w14:paraId="5AF5F8D6">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eastAsia="zh-CN" w:bidi="ar"/>
              </w:rPr>
            </w:pPr>
            <w:r>
              <w:rPr>
                <w:rFonts w:hint="eastAsia" w:asciiTheme="minorEastAsia" w:hAnsiTheme="minorEastAsia" w:eastAsiaTheme="minorEastAsia" w:cstheme="minorEastAsia"/>
                <w:b/>
                <w:bCs/>
                <w:color w:val="333333"/>
                <w:kern w:val="0"/>
                <w:sz w:val="24"/>
                <w:szCs w:val="24"/>
                <w:shd w:val="clear" w:color="auto" w:fill="FFFFFF"/>
                <w:lang w:eastAsia="zh-CN" w:bidi="ar"/>
              </w:rPr>
              <w:t>绝对数</w:t>
            </w:r>
          </w:p>
        </w:tc>
        <w:tc>
          <w:tcPr>
            <w:tcW w:w="2154" w:type="dxa"/>
            <w:tcBorders>
              <w:top w:val="single" w:color="auto" w:sz="12" w:space="0"/>
              <w:left w:val="single" w:color="auto" w:sz="8" w:space="0"/>
              <w:bottom w:val="single" w:color="auto" w:sz="8" w:space="0"/>
            </w:tcBorders>
            <w:noWrap w:val="0"/>
            <w:vAlign w:val="center"/>
          </w:tcPr>
          <w:p w14:paraId="561D90FD">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比上年增长（%）</w:t>
            </w:r>
          </w:p>
        </w:tc>
      </w:tr>
      <w:tr w14:paraId="5A4972A3">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878" w:hRule="atLeast"/>
        </w:trPr>
        <w:tc>
          <w:tcPr>
            <w:tcW w:w="3039" w:type="dxa"/>
            <w:tcBorders>
              <w:top w:val="single" w:color="auto" w:sz="8" w:space="0"/>
              <w:bottom w:val="nil"/>
              <w:right w:val="single" w:color="auto" w:sz="8" w:space="0"/>
            </w:tcBorders>
            <w:noWrap w:val="0"/>
            <w:vAlign w:val="center"/>
          </w:tcPr>
          <w:p w14:paraId="6578B6F5">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eastAsia="zh-CN" w:bidi="ar"/>
              </w:rPr>
              <w:t>投资完成额</w:t>
            </w:r>
          </w:p>
        </w:tc>
        <w:tc>
          <w:tcPr>
            <w:tcW w:w="1602" w:type="dxa"/>
            <w:tcBorders>
              <w:top w:val="single" w:color="auto" w:sz="8" w:space="0"/>
              <w:left w:val="single" w:color="auto" w:sz="8" w:space="0"/>
              <w:bottom w:val="nil"/>
              <w:right w:val="single" w:color="auto" w:sz="8" w:space="0"/>
            </w:tcBorders>
            <w:noWrap w:val="0"/>
            <w:vAlign w:val="center"/>
          </w:tcPr>
          <w:p w14:paraId="651A55F0">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万 </w:t>
            </w:r>
            <w:r>
              <w:rPr>
                <w:rFonts w:hint="eastAsia" w:asciiTheme="minorEastAsia" w:hAnsiTheme="minorEastAsia" w:eastAsiaTheme="minorEastAsia" w:cstheme="minorEastAsia"/>
                <w:color w:val="333333"/>
                <w:kern w:val="0"/>
                <w:sz w:val="24"/>
                <w:szCs w:val="24"/>
                <w:shd w:val="clear" w:color="auto" w:fill="FFFFFF"/>
                <w:lang w:eastAsia="zh-CN" w:bidi="ar"/>
              </w:rPr>
              <w:t>元</w:t>
            </w:r>
          </w:p>
        </w:tc>
        <w:tc>
          <w:tcPr>
            <w:tcW w:w="1603" w:type="dxa"/>
            <w:tcBorders>
              <w:top w:val="single" w:color="auto" w:sz="8" w:space="0"/>
              <w:left w:val="single" w:color="auto" w:sz="8" w:space="0"/>
              <w:bottom w:val="nil"/>
              <w:right w:val="single" w:color="auto" w:sz="8" w:space="0"/>
            </w:tcBorders>
            <w:noWrap w:val="0"/>
            <w:vAlign w:val="center"/>
          </w:tcPr>
          <w:p w14:paraId="10D6ACB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17055</w:t>
            </w:r>
          </w:p>
        </w:tc>
        <w:tc>
          <w:tcPr>
            <w:tcW w:w="2154" w:type="dxa"/>
            <w:tcBorders>
              <w:top w:val="single" w:color="auto" w:sz="8" w:space="0"/>
              <w:left w:val="single" w:color="auto" w:sz="8" w:space="0"/>
              <w:bottom w:val="nil"/>
            </w:tcBorders>
            <w:noWrap w:val="0"/>
            <w:vAlign w:val="center"/>
          </w:tcPr>
          <w:p w14:paraId="1BC99DB7">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-5.4</w:t>
            </w:r>
          </w:p>
        </w:tc>
      </w:tr>
      <w:tr w14:paraId="67699B8E">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29" w:hRule="atLeast"/>
        </w:trPr>
        <w:tc>
          <w:tcPr>
            <w:tcW w:w="3039" w:type="dxa"/>
            <w:tcBorders>
              <w:top w:val="nil"/>
              <w:bottom w:val="nil"/>
              <w:right w:val="single" w:color="auto" w:sz="8" w:space="0"/>
            </w:tcBorders>
            <w:noWrap w:val="0"/>
            <w:vAlign w:val="center"/>
          </w:tcPr>
          <w:p w14:paraId="22D2484B">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其中：</w:t>
            </w:r>
            <w:r>
              <w:rPr>
                <w:rFonts w:hint="eastAsia" w:asciiTheme="minorEastAsia" w:hAnsiTheme="minorEastAsia" w:eastAsiaTheme="minorEastAsia" w:cstheme="minorEastAsia"/>
                <w:color w:val="333333"/>
                <w:kern w:val="0"/>
                <w:sz w:val="24"/>
                <w:szCs w:val="24"/>
                <w:shd w:val="clear" w:color="auto" w:fill="FFFFFF"/>
                <w:lang w:eastAsia="zh-CN" w:bidi="ar"/>
              </w:rPr>
              <w:t>住</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eastAsia="zh-CN" w:bidi="ar"/>
              </w:rPr>
              <w:t>宅</w:t>
            </w:r>
          </w:p>
        </w:tc>
        <w:tc>
          <w:tcPr>
            <w:tcW w:w="1602" w:type="dxa"/>
            <w:tcBorders>
              <w:top w:val="nil"/>
              <w:left w:val="single" w:color="auto" w:sz="8" w:space="0"/>
              <w:bottom w:val="nil"/>
              <w:right w:val="single" w:color="auto" w:sz="8" w:space="0"/>
            </w:tcBorders>
            <w:noWrap w:val="0"/>
            <w:vAlign w:val="center"/>
          </w:tcPr>
          <w:p w14:paraId="2C7AA7C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万 </w:t>
            </w:r>
            <w:r>
              <w:rPr>
                <w:rFonts w:hint="eastAsia" w:asciiTheme="minorEastAsia" w:hAnsiTheme="minorEastAsia" w:eastAsiaTheme="minorEastAsia" w:cstheme="minorEastAsia"/>
                <w:color w:val="333333"/>
                <w:kern w:val="0"/>
                <w:sz w:val="24"/>
                <w:szCs w:val="24"/>
                <w:shd w:val="clear" w:color="auto" w:fill="FFFFFF"/>
                <w:lang w:eastAsia="zh-CN" w:bidi="ar"/>
              </w:rPr>
              <w:t>元</w:t>
            </w:r>
          </w:p>
        </w:tc>
        <w:tc>
          <w:tcPr>
            <w:tcW w:w="1603" w:type="dxa"/>
            <w:tcBorders>
              <w:top w:val="nil"/>
              <w:left w:val="single" w:color="auto" w:sz="8" w:space="0"/>
              <w:bottom w:val="nil"/>
              <w:right w:val="single" w:color="auto" w:sz="8" w:space="0"/>
            </w:tcBorders>
            <w:noWrap w:val="0"/>
            <w:vAlign w:val="center"/>
          </w:tcPr>
          <w:p w14:paraId="6F784F9B">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5761</w:t>
            </w:r>
          </w:p>
        </w:tc>
        <w:tc>
          <w:tcPr>
            <w:tcW w:w="2154" w:type="dxa"/>
            <w:tcBorders>
              <w:top w:val="nil"/>
              <w:left w:val="single" w:color="auto" w:sz="8" w:space="0"/>
              <w:bottom w:val="nil"/>
            </w:tcBorders>
            <w:noWrap w:val="0"/>
            <w:vAlign w:val="center"/>
          </w:tcPr>
          <w:p w14:paraId="351F1D2E">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-52.9</w:t>
            </w:r>
          </w:p>
        </w:tc>
      </w:tr>
      <w:tr w14:paraId="46A971F8">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29" w:hRule="atLeast"/>
        </w:trPr>
        <w:tc>
          <w:tcPr>
            <w:tcW w:w="3039" w:type="dxa"/>
            <w:tcBorders>
              <w:top w:val="nil"/>
              <w:bottom w:val="nil"/>
              <w:right w:val="single" w:color="auto" w:sz="8" w:space="0"/>
            </w:tcBorders>
            <w:noWrap w:val="0"/>
            <w:vAlign w:val="center"/>
          </w:tcPr>
          <w:p w14:paraId="45874B5B">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eastAsia="zh-CN" w:bidi="ar"/>
              </w:rPr>
              <w:t>房屋施工面积</w:t>
            </w:r>
          </w:p>
        </w:tc>
        <w:tc>
          <w:tcPr>
            <w:tcW w:w="1602" w:type="dxa"/>
            <w:tcBorders>
              <w:top w:val="nil"/>
              <w:left w:val="single" w:color="auto" w:sz="8" w:space="0"/>
              <w:bottom w:val="nil"/>
              <w:right w:val="single" w:color="auto" w:sz="8" w:space="0"/>
            </w:tcBorders>
            <w:noWrap w:val="0"/>
            <w:vAlign w:val="center"/>
          </w:tcPr>
          <w:p w14:paraId="34B75A1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eastAsia="zh-CN" w:bidi="ar"/>
              </w:rPr>
              <w:t>平方米</w:t>
            </w:r>
          </w:p>
        </w:tc>
        <w:tc>
          <w:tcPr>
            <w:tcW w:w="1603" w:type="dxa"/>
            <w:tcBorders>
              <w:top w:val="nil"/>
              <w:left w:val="single" w:color="auto" w:sz="8" w:space="0"/>
              <w:bottom w:val="nil"/>
              <w:right w:val="single" w:color="auto" w:sz="8" w:space="0"/>
            </w:tcBorders>
            <w:noWrap w:val="0"/>
            <w:vAlign w:val="center"/>
          </w:tcPr>
          <w:p w14:paraId="01EB6BCE">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493920</w:t>
            </w:r>
          </w:p>
        </w:tc>
        <w:tc>
          <w:tcPr>
            <w:tcW w:w="2154" w:type="dxa"/>
            <w:tcBorders>
              <w:top w:val="nil"/>
              <w:left w:val="single" w:color="auto" w:sz="8" w:space="0"/>
              <w:bottom w:val="nil"/>
            </w:tcBorders>
            <w:noWrap w:val="0"/>
            <w:vAlign w:val="center"/>
          </w:tcPr>
          <w:p w14:paraId="247417C0">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-16.5</w:t>
            </w:r>
          </w:p>
        </w:tc>
      </w:tr>
      <w:tr w14:paraId="135CEAA2">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29" w:hRule="atLeast"/>
        </w:trPr>
        <w:tc>
          <w:tcPr>
            <w:tcW w:w="3039" w:type="dxa"/>
            <w:tcBorders>
              <w:top w:val="nil"/>
              <w:bottom w:val="nil"/>
              <w:right w:val="single" w:color="auto" w:sz="8" w:space="0"/>
            </w:tcBorders>
            <w:noWrap w:val="0"/>
            <w:vAlign w:val="center"/>
          </w:tcPr>
          <w:p w14:paraId="209C64B5">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eastAsia="zh-CN"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其中：</w:t>
            </w:r>
            <w:r>
              <w:rPr>
                <w:rFonts w:hint="eastAsia" w:asciiTheme="minorEastAsia" w:hAnsiTheme="minorEastAsia" w:eastAsiaTheme="minorEastAsia" w:cstheme="minorEastAsia"/>
                <w:color w:val="333333"/>
                <w:kern w:val="0"/>
                <w:sz w:val="24"/>
                <w:szCs w:val="24"/>
                <w:shd w:val="clear" w:color="auto" w:fill="FFFFFF"/>
                <w:lang w:eastAsia="zh-CN" w:bidi="ar"/>
              </w:rPr>
              <w:t>住</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eastAsia="zh-CN" w:bidi="ar"/>
              </w:rPr>
              <w:t>宅</w:t>
            </w:r>
          </w:p>
        </w:tc>
        <w:tc>
          <w:tcPr>
            <w:tcW w:w="1602" w:type="dxa"/>
            <w:tcBorders>
              <w:top w:val="nil"/>
              <w:left w:val="single" w:color="auto" w:sz="8" w:space="0"/>
              <w:bottom w:val="nil"/>
              <w:right w:val="single" w:color="auto" w:sz="8" w:space="0"/>
            </w:tcBorders>
            <w:noWrap w:val="0"/>
            <w:vAlign w:val="center"/>
          </w:tcPr>
          <w:p w14:paraId="45E497C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平方米</w:t>
            </w:r>
          </w:p>
        </w:tc>
        <w:tc>
          <w:tcPr>
            <w:tcW w:w="1603" w:type="dxa"/>
            <w:tcBorders>
              <w:top w:val="nil"/>
              <w:left w:val="single" w:color="auto" w:sz="8" w:space="0"/>
              <w:bottom w:val="nil"/>
              <w:right w:val="single" w:color="auto" w:sz="8" w:space="0"/>
            </w:tcBorders>
            <w:noWrap w:val="0"/>
            <w:vAlign w:val="center"/>
          </w:tcPr>
          <w:p w14:paraId="3505CA3A">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326494</w:t>
            </w:r>
          </w:p>
        </w:tc>
        <w:tc>
          <w:tcPr>
            <w:tcW w:w="2154" w:type="dxa"/>
            <w:tcBorders>
              <w:top w:val="nil"/>
              <w:left w:val="single" w:color="auto" w:sz="8" w:space="0"/>
              <w:bottom w:val="nil"/>
            </w:tcBorders>
            <w:noWrap w:val="0"/>
            <w:vAlign w:val="center"/>
          </w:tcPr>
          <w:p w14:paraId="6D652F10">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-8.5</w:t>
            </w:r>
          </w:p>
        </w:tc>
      </w:tr>
      <w:tr w14:paraId="0F673CE3">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29" w:hRule="atLeast"/>
        </w:trPr>
        <w:tc>
          <w:tcPr>
            <w:tcW w:w="3039" w:type="dxa"/>
            <w:tcBorders>
              <w:top w:val="nil"/>
              <w:bottom w:val="nil"/>
              <w:right w:val="single" w:color="auto" w:sz="8" w:space="0"/>
            </w:tcBorders>
            <w:noWrap w:val="0"/>
            <w:vAlign w:val="center"/>
          </w:tcPr>
          <w:p w14:paraId="408CBD9A">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房屋新开工面积</w:t>
            </w:r>
          </w:p>
        </w:tc>
        <w:tc>
          <w:tcPr>
            <w:tcW w:w="1602" w:type="dxa"/>
            <w:tcBorders>
              <w:top w:val="nil"/>
              <w:left w:val="single" w:color="auto" w:sz="8" w:space="0"/>
              <w:bottom w:val="nil"/>
              <w:right w:val="single" w:color="auto" w:sz="8" w:space="0"/>
            </w:tcBorders>
            <w:noWrap w:val="0"/>
            <w:vAlign w:val="center"/>
          </w:tcPr>
          <w:p w14:paraId="73FFB88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平方米</w:t>
            </w:r>
          </w:p>
        </w:tc>
        <w:tc>
          <w:tcPr>
            <w:tcW w:w="1603" w:type="dxa"/>
            <w:tcBorders>
              <w:top w:val="nil"/>
              <w:left w:val="single" w:color="auto" w:sz="8" w:space="0"/>
              <w:bottom w:val="nil"/>
              <w:right w:val="single" w:color="auto" w:sz="8" w:space="0"/>
            </w:tcBorders>
            <w:noWrap w:val="0"/>
            <w:vAlign w:val="center"/>
          </w:tcPr>
          <w:p w14:paraId="561151A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138621</w:t>
            </w:r>
          </w:p>
        </w:tc>
        <w:tc>
          <w:tcPr>
            <w:tcW w:w="2154" w:type="dxa"/>
            <w:tcBorders>
              <w:top w:val="nil"/>
              <w:left w:val="single" w:color="auto" w:sz="8" w:space="0"/>
              <w:bottom w:val="nil"/>
            </w:tcBorders>
            <w:noWrap w:val="0"/>
            <w:vAlign w:val="center"/>
          </w:tcPr>
          <w:p w14:paraId="352741A2">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52.7</w:t>
            </w:r>
          </w:p>
        </w:tc>
      </w:tr>
      <w:tr w14:paraId="345AE90B">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29" w:hRule="atLeast"/>
        </w:trPr>
        <w:tc>
          <w:tcPr>
            <w:tcW w:w="3039" w:type="dxa"/>
            <w:tcBorders>
              <w:top w:val="nil"/>
              <w:bottom w:val="nil"/>
              <w:right w:val="single" w:color="auto" w:sz="8" w:space="0"/>
            </w:tcBorders>
            <w:noWrap w:val="0"/>
            <w:vAlign w:val="center"/>
          </w:tcPr>
          <w:p w14:paraId="0D0FCC81">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bidi="ar"/>
              </w:rPr>
              <w:t>其中：</w:t>
            </w:r>
            <w:r>
              <w:rPr>
                <w:rFonts w:hint="eastAsia" w:asciiTheme="minorEastAsia" w:hAnsiTheme="minorEastAsia" w:eastAsiaTheme="minorEastAsia" w:cstheme="minorEastAsia"/>
                <w:color w:val="333333"/>
                <w:kern w:val="0"/>
                <w:sz w:val="24"/>
                <w:szCs w:val="24"/>
                <w:shd w:val="clear" w:color="auto" w:fill="FFFFFF"/>
                <w:lang w:eastAsia="zh-CN" w:bidi="ar"/>
              </w:rPr>
              <w:t>住</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eastAsia="zh-CN" w:bidi="ar"/>
              </w:rPr>
              <w:t>宅</w:t>
            </w:r>
          </w:p>
        </w:tc>
        <w:tc>
          <w:tcPr>
            <w:tcW w:w="1602" w:type="dxa"/>
            <w:tcBorders>
              <w:top w:val="nil"/>
              <w:left w:val="single" w:color="auto" w:sz="8" w:space="0"/>
              <w:bottom w:val="nil"/>
              <w:right w:val="single" w:color="auto" w:sz="8" w:space="0"/>
            </w:tcBorders>
            <w:noWrap w:val="0"/>
            <w:vAlign w:val="center"/>
          </w:tcPr>
          <w:p w14:paraId="56DAE502">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平方米</w:t>
            </w:r>
          </w:p>
        </w:tc>
        <w:tc>
          <w:tcPr>
            <w:tcW w:w="1603" w:type="dxa"/>
            <w:tcBorders>
              <w:top w:val="nil"/>
              <w:left w:val="single" w:color="auto" w:sz="8" w:space="0"/>
              <w:bottom w:val="nil"/>
              <w:right w:val="single" w:color="auto" w:sz="8" w:space="0"/>
            </w:tcBorders>
            <w:noWrap w:val="0"/>
            <w:vAlign w:val="center"/>
          </w:tcPr>
          <w:p w14:paraId="4E026CC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113949</w:t>
            </w:r>
          </w:p>
        </w:tc>
        <w:tc>
          <w:tcPr>
            <w:tcW w:w="2154" w:type="dxa"/>
            <w:tcBorders>
              <w:top w:val="nil"/>
              <w:left w:val="single" w:color="auto" w:sz="8" w:space="0"/>
              <w:bottom w:val="nil"/>
            </w:tcBorders>
            <w:noWrap w:val="0"/>
            <w:vAlign w:val="center"/>
          </w:tcPr>
          <w:p w14:paraId="31BF61AA">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137.1</w:t>
            </w:r>
          </w:p>
        </w:tc>
      </w:tr>
      <w:tr w14:paraId="3B33BE42">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5" w:hRule="exact"/>
        </w:trPr>
        <w:tc>
          <w:tcPr>
            <w:tcW w:w="3039" w:type="dxa"/>
            <w:tcBorders>
              <w:top w:val="nil"/>
              <w:bottom w:val="nil"/>
              <w:right w:val="single" w:color="auto" w:sz="8" w:space="0"/>
            </w:tcBorders>
            <w:noWrap w:val="0"/>
            <w:vAlign w:val="center"/>
          </w:tcPr>
          <w:p w14:paraId="4C46CD55">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房屋竣工面积</w:t>
            </w:r>
          </w:p>
        </w:tc>
        <w:tc>
          <w:tcPr>
            <w:tcW w:w="1602" w:type="dxa"/>
            <w:tcBorders>
              <w:top w:val="nil"/>
              <w:left w:val="single" w:color="auto" w:sz="8" w:space="0"/>
              <w:bottom w:val="nil"/>
              <w:right w:val="single" w:color="auto" w:sz="8" w:space="0"/>
            </w:tcBorders>
            <w:noWrap w:val="0"/>
            <w:vAlign w:val="center"/>
          </w:tcPr>
          <w:p w14:paraId="615BB2D4">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平方米</w:t>
            </w:r>
          </w:p>
        </w:tc>
        <w:tc>
          <w:tcPr>
            <w:tcW w:w="1603" w:type="dxa"/>
            <w:tcBorders>
              <w:top w:val="nil"/>
              <w:left w:val="single" w:color="auto" w:sz="8" w:space="0"/>
              <w:bottom w:val="nil"/>
              <w:right w:val="single" w:color="auto" w:sz="8" w:space="0"/>
            </w:tcBorders>
            <w:noWrap w:val="0"/>
            <w:vAlign w:val="center"/>
          </w:tcPr>
          <w:p w14:paraId="707B2BB6">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18760</w:t>
            </w:r>
          </w:p>
        </w:tc>
        <w:tc>
          <w:tcPr>
            <w:tcW w:w="2154" w:type="dxa"/>
            <w:tcBorders>
              <w:top w:val="nil"/>
              <w:left w:val="single" w:color="auto" w:sz="8" w:space="0"/>
              <w:bottom w:val="nil"/>
            </w:tcBorders>
            <w:noWrap w:val="0"/>
            <w:vAlign w:val="center"/>
          </w:tcPr>
          <w:p w14:paraId="180E8486">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-91.9</w:t>
            </w:r>
          </w:p>
        </w:tc>
      </w:tr>
      <w:tr w14:paraId="7074C847">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29" w:hRule="atLeast"/>
        </w:trPr>
        <w:tc>
          <w:tcPr>
            <w:tcW w:w="3039" w:type="dxa"/>
            <w:tcBorders>
              <w:top w:val="nil"/>
              <w:bottom w:val="nil"/>
              <w:right w:val="single" w:color="auto" w:sz="8" w:space="0"/>
            </w:tcBorders>
            <w:noWrap w:val="0"/>
            <w:vAlign w:val="center"/>
          </w:tcPr>
          <w:p w14:paraId="41C3E797">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bidi="ar"/>
              </w:rPr>
              <w:t>其中：</w:t>
            </w:r>
            <w:r>
              <w:rPr>
                <w:rFonts w:hint="eastAsia" w:asciiTheme="minorEastAsia" w:hAnsiTheme="minorEastAsia" w:eastAsiaTheme="minorEastAsia" w:cstheme="minorEastAsia"/>
                <w:color w:val="333333"/>
                <w:kern w:val="0"/>
                <w:sz w:val="24"/>
                <w:szCs w:val="24"/>
                <w:shd w:val="clear" w:color="auto" w:fill="FFFFFF"/>
                <w:lang w:eastAsia="zh-CN" w:bidi="ar"/>
              </w:rPr>
              <w:t>住</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eastAsia="zh-CN" w:bidi="ar"/>
              </w:rPr>
              <w:t>宅</w:t>
            </w:r>
          </w:p>
        </w:tc>
        <w:tc>
          <w:tcPr>
            <w:tcW w:w="1602" w:type="dxa"/>
            <w:tcBorders>
              <w:top w:val="nil"/>
              <w:left w:val="single" w:color="auto" w:sz="8" w:space="0"/>
              <w:bottom w:val="nil"/>
              <w:right w:val="single" w:color="auto" w:sz="8" w:space="0"/>
            </w:tcBorders>
            <w:noWrap w:val="0"/>
            <w:vAlign w:val="center"/>
          </w:tcPr>
          <w:p w14:paraId="40C2D5A3">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平方米</w:t>
            </w:r>
          </w:p>
        </w:tc>
        <w:tc>
          <w:tcPr>
            <w:tcW w:w="1603" w:type="dxa"/>
            <w:tcBorders>
              <w:top w:val="nil"/>
              <w:left w:val="single" w:color="auto" w:sz="8" w:space="0"/>
              <w:bottom w:val="nil"/>
              <w:right w:val="single" w:color="auto" w:sz="8" w:space="0"/>
            </w:tcBorders>
            <w:noWrap w:val="0"/>
            <w:vAlign w:val="center"/>
          </w:tcPr>
          <w:p w14:paraId="6DD3B10A">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16360</w:t>
            </w:r>
          </w:p>
        </w:tc>
        <w:tc>
          <w:tcPr>
            <w:tcW w:w="2154" w:type="dxa"/>
            <w:tcBorders>
              <w:top w:val="nil"/>
              <w:left w:val="single" w:color="auto" w:sz="8" w:space="0"/>
              <w:bottom w:val="nil"/>
            </w:tcBorders>
            <w:noWrap w:val="0"/>
            <w:vAlign w:val="center"/>
          </w:tcPr>
          <w:p w14:paraId="675D662B">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-88.6</w:t>
            </w:r>
          </w:p>
        </w:tc>
      </w:tr>
      <w:tr w14:paraId="791546A7">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29" w:hRule="atLeast"/>
        </w:trPr>
        <w:tc>
          <w:tcPr>
            <w:tcW w:w="3039" w:type="dxa"/>
            <w:tcBorders>
              <w:top w:val="nil"/>
              <w:bottom w:val="nil"/>
              <w:right w:val="single" w:color="auto" w:sz="8" w:space="0"/>
            </w:tcBorders>
            <w:noWrap w:val="0"/>
            <w:vAlign w:val="center"/>
          </w:tcPr>
          <w:p w14:paraId="62458EC7">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商品房销售面积</w:t>
            </w:r>
          </w:p>
        </w:tc>
        <w:tc>
          <w:tcPr>
            <w:tcW w:w="1602" w:type="dxa"/>
            <w:tcBorders>
              <w:top w:val="nil"/>
              <w:left w:val="single" w:color="auto" w:sz="8" w:space="0"/>
              <w:bottom w:val="nil"/>
              <w:right w:val="single" w:color="auto" w:sz="8" w:space="0"/>
            </w:tcBorders>
            <w:noWrap w:val="0"/>
            <w:vAlign w:val="center"/>
          </w:tcPr>
          <w:p w14:paraId="3B887A93">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平方米</w:t>
            </w:r>
          </w:p>
        </w:tc>
        <w:tc>
          <w:tcPr>
            <w:tcW w:w="1603" w:type="dxa"/>
            <w:tcBorders>
              <w:top w:val="nil"/>
              <w:left w:val="single" w:color="auto" w:sz="8" w:space="0"/>
              <w:bottom w:val="nil"/>
              <w:right w:val="single" w:color="auto" w:sz="8" w:space="0"/>
            </w:tcBorders>
            <w:noWrap w:val="0"/>
            <w:vAlign w:val="center"/>
          </w:tcPr>
          <w:p w14:paraId="3E78A7A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103320</w:t>
            </w:r>
          </w:p>
        </w:tc>
        <w:tc>
          <w:tcPr>
            <w:tcW w:w="2154" w:type="dxa"/>
            <w:tcBorders>
              <w:top w:val="nil"/>
              <w:left w:val="single" w:color="auto" w:sz="8" w:space="0"/>
              <w:bottom w:val="nil"/>
            </w:tcBorders>
            <w:noWrap w:val="0"/>
            <w:vAlign w:val="center"/>
          </w:tcPr>
          <w:p w14:paraId="5F9F234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32.2</w:t>
            </w:r>
          </w:p>
        </w:tc>
      </w:tr>
      <w:tr w14:paraId="3B503B40">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954" w:hRule="atLeast"/>
        </w:trPr>
        <w:tc>
          <w:tcPr>
            <w:tcW w:w="3039" w:type="dxa"/>
            <w:tcBorders>
              <w:top w:val="nil"/>
              <w:bottom w:val="single" w:color="auto" w:sz="12" w:space="0"/>
              <w:right w:val="single" w:color="auto" w:sz="8" w:space="0"/>
            </w:tcBorders>
            <w:noWrap w:val="0"/>
            <w:vAlign w:val="center"/>
          </w:tcPr>
          <w:p w14:paraId="0B09CBE1">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 xml:space="preserve">    </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bidi="ar"/>
              </w:rPr>
              <w:t>其中：</w:t>
            </w:r>
            <w:r>
              <w:rPr>
                <w:rFonts w:hint="eastAsia" w:asciiTheme="minorEastAsia" w:hAnsiTheme="minorEastAsia" w:eastAsiaTheme="minorEastAsia" w:cstheme="minorEastAsia"/>
                <w:color w:val="333333"/>
                <w:kern w:val="0"/>
                <w:sz w:val="24"/>
                <w:szCs w:val="24"/>
                <w:shd w:val="clear" w:color="auto" w:fill="FFFFFF"/>
                <w:lang w:eastAsia="zh-CN" w:bidi="ar"/>
              </w:rPr>
              <w:t>住</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color w:val="333333"/>
                <w:kern w:val="0"/>
                <w:sz w:val="24"/>
                <w:szCs w:val="24"/>
                <w:shd w:val="clear" w:color="auto" w:fill="FFFFFF"/>
                <w:lang w:eastAsia="zh-CN" w:bidi="ar"/>
              </w:rPr>
              <w:t>宅</w:t>
            </w:r>
          </w:p>
        </w:tc>
        <w:tc>
          <w:tcPr>
            <w:tcW w:w="1602" w:type="dxa"/>
            <w:tcBorders>
              <w:top w:val="nil"/>
              <w:left w:val="single" w:color="auto" w:sz="8" w:space="0"/>
              <w:bottom w:val="single" w:color="auto" w:sz="12" w:space="0"/>
              <w:right w:val="single" w:color="auto" w:sz="8" w:space="0"/>
            </w:tcBorders>
            <w:noWrap w:val="0"/>
            <w:vAlign w:val="center"/>
          </w:tcPr>
          <w:p w14:paraId="7731DE08">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平方米</w:t>
            </w:r>
          </w:p>
        </w:tc>
        <w:tc>
          <w:tcPr>
            <w:tcW w:w="1603" w:type="dxa"/>
            <w:tcBorders>
              <w:top w:val="nil"/>
              <w:left w:val="single" w:color="auto" w:sz="8" w:space="0"/>
              <w:bottom w:val="single" w:color="auto" w:sz="12" w:space="0"/>
              <w:right w:val="single" w:color="auto" w:sz="8" w:space="0"/>
            </w:tcBorders>
            <w:noWrap w:val="0"/>
            <w:vAlign w:val="center"/>
          </w:tcPr>
          <w:p w14:paraId="34C4C246">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99154</w:t>
            </w:r>
          </w:p>
        </w:tc>
        <w:tc>
          <w:tcPr>
            <w:tcW w:w="2154" w:type="dxa"/>
            <w:tcBorders>
              <w:top w:val="nil"/>
              <w:left w:val="single" w:color="auto" w:sz="8" w:space="0"/>
              <w:bottom w:val="single" w:color="auto" w:sz="12" w:space="0"/>
            </w:tcBorders>
            <w:noWrap w:val="0"/>
            <w:vAlign w:val="center"/>
          </w:tcPr>
          <w:p w14:paraId="1A356F0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26.9</w:t>
            </w:r>
          </w:p>
        </w:tc>
      </w:tr>
    </w:tbl>
    <w:p w14:paraId="12A3A4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rPr>
        <w:t xml:space="preserve">六、国内贸易 </w:t>
      </w:r>
    </w:p>
    <w:p w14:paraId="052F8F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shd w:val="clear" w:fill="FFFFFF"/>
        </w:rPr>
      </w:pPr>
      <w:r>
        <w:rPr>
          <w:rFonts w:hint="eastAsia" w:asciiTheme="minorEastAsia" w:hAnsiTheme="minorEastAsia" w:eastAsiaTheme="minorEastAsia" w:cstheme="minorEastAsia"/>
          <w:color w:val="auto"/>
          <w:sz w:val="24"/>
          <w:szCs w:val="24"/>
          <w:shd w:val="clear" w:fill="FFFFFF"/>
        </w:rPr>
        <w:t>全年全</w:t>
      </w:r>
      <w:r>
        <w:rPr>
          <w:rFonts w:hint="eastAsia" w:asciiTheme="minorEastAsia" w:hAnsiTheme="minorEastAsia" w:eastAsiaTheme="minorEastAsia" w:cstheme="minorEastAsia"/>
          <w:color w:val="auto"/>
          <w:sz w:val="24"/>
          <w:szCs w:val="24"/>
          <w:shd w:val="clear" w:fill="FFFFFF"/>
          <w:lang w:val="en-US" w:eastAsia="zh-CN"/>
        </w:rPr>
        <w:t>县</w:t>
      </w:r>
      <w:r>
        <w:rPr>
          <w:rFonts w:hint="eastAsia" w:asciiTheme="minorEastAsia" w:hAnsiTheme="minorEastAsia" w:eastAsiaTheme="minorEastAsia" w:cstheme="minorEastAsia"/>
          <w:color w:val="auto"/>
          <w:sz w:val="24"/>
          <w:szCs w:val="24"/>
          <w:shd w:val="clear" w:fill="FFFFFF"/>
        </w:rPr>
        <w:t>社会消费品零售总额</w:t>
      </w:r>
      <w:r>
        <w:rPr>
          <w:rFonts w:hint="eastAsia" w:asciiTheme="minorEastAsia" w:hAnsiTheme="minorEastAsia" w:eastAsiaTheme="minorEastAsia" w:cstheme="minorEastAsia"/>
          <w:color w:val="auto"/>
          <w:sz w:val="24"/>
          <w:szCs w:val="24"/>
          <w:shd w:val="clear" w:fill="FFFFFF"/>
          <w:lang w:val="en-US" w:eastAsia="zh-CN"/>
        </w:rPr>
        <w:t>466855万</w:t>
      </w:r>
      <w:r>
        <w:rPr>
          <w:rFonts w:hint="eastAsia" w:asciiTheme="minorEastAsia" w:hAnsiTheme="minorEastAsia" w:eastAsiaTheme="minorEastAsia" w:cstheme="minorEastAsia"/>
          <w:color w:val="auto"/>
          <w:sz w:val="24"/>
          <w:szCs w:val="24"/>
          <w:shd w:val="clear" w:fill="FFFFFF"/>
        </w:rPr>
        <w:t>元，同比增长</w:t>
      </w:r>
      <w:r>
        <w:rPr>
          <w:rFonts w:hint="eastAsia" w:asciiTheme="minorEastAsia" w:hAnsiTheme="minorEastAsia" w:eastAsiaTheme="minorEastAsia" w:cstheme="minorEastAsia"/>
          <w:color w:val="auto"/>
          <w:sz w:val="24"/>
          <w:szCs w:val="24"/>
          <w:shd w:val="clear" w:fill="FFFFFF"/>
          <w:lang w:val="en-US" w:eastAsia="zh-CN"/>
        </w:rPr>
        <w:t xml:space="preserve">7.0 </w:t>
      </w:r>
      <w:r>
        <w:rPr>
          <w:rFonts w:hint="eastAsia" w:asciiTheme="minorEastAsia" w:hAnsiTheme="minorEastAsia" w:eastAsiaTheme="minorEastAsia" w:cstheme="minorEastAsia"/>
          <w:color w:val="auto"/>
          <w:sz w:val="24"/>
          <w:szCs w:val="24"/>
          <w:shd w:val="clear" w:fill="FFFFFF"/>
        </w:rPr>
        <w:t>%。按经营地统计，城镇消费品零售额</w:t>
      </w:r>
      <w:r>
        <w:rPr>
          <w:rFonts w:hint="eastAsia" w:asciiTheme="minorEastAsia" w:hAnsiTheme="minorEastAsia" w:eastAsiaTheme="minorEastAsia" w:cstheme="minorEastAsia"/>
          <w:color w:val="auto"/>
          <w:sz w:val="24"/>
          <w:szCs w:val="24"/>
          <w:shd w:val="clear" w:fill="FFFFFF"/>
          <w:lang w:val="en-US" w:eastAsia="zh-CN"/>
        </w:rPr>
        <w:t xml:space="preserve"> 373118万</w:t>
      </w:r>
      <w:r>
        <w:rPr>
          <w:rFonts w:hint="eastAsia" w:asciiTheme="minorEastAsia" w:hAnsiTheme="minorEastAsia" w:eastAsiaTheme="minorEastAsia" w:cstheme="minorEastAsia"/>
          <w:color w:val="auto"/>
          <w:sz w:val="24"/>
          <w:szCs w:val="24"/>
          <w:shd w:val="clear" w:fill="FFFFFF"/>
        </w:rPr>
        <w:t>元，同比增长</w:t>
      </w:r>
      <w:r>
        <w:rPr>
          <w:rFonts w:hint="eastAsia" w:asciiTheme="minorEastAsia" w:hAnsiTheme="minorEastAsia" w:eastAsiaTheme="minorEastAsia" w:cstheme="minorEastAsia"/>
          <w:color w:val="auto"/>
          <w:sz w:val="24"/>
          <w:szCs w:val="24"/>
          <w:shd w:val="clear" w:fill="FFFFFF"/>
          <w:lang w:val="en-US" w:eastAsia="zh-CN"/>
        </w:rPr>
        <w:t>4.0</w:t>
      </w:r>
      <w:r>
        <w:rPr>
          <w:rFonts w:hint="eastAsia" w:asciiTheme="minorEastAsia" w:hAnsiTheme="minorEastAsia" w:eastAsiaTheme="minorEastAsia" w:cstheme="minorEastAsia"/>
          <w:color w:val="auto"/>
          <w:sz w:val="24"/>
          <w:szCs w:val="24"/>
          <w:shd w:val="clear" w:fill="FFFFFF"/>
        </w:rPr>
        <w:t>%；乡村消费品零售额</w:t>
      </w:r>
      <w:r>
        <w:rPr>
          <w:rFonts w:hint="eastAsia" w:asciiTheme="minorEastAsia" w:hAnsiTheme="minorEastAsia" w:eastAsiaTheme="minorEastAsia" w:cstheme="minorEastAsia"/>
          <w:color w:val="auto"/>
          <w:sz w:val="24"/>
          <w:szCs w:val="24"/>
          <w:shd w:val="clear" w:fill="FFFFFF"/>
          <w:lang w:val="en-US" w:eastAsia="zh-CN"/>
        </w:rPr>
        <w:t>93737万</w:t>
      </w:r>
      <w:r>
        <w:rPr>
          <w:rFonts w:hint="eastAsia" w:asciiTheme="minorEastAsia" w:hAnsiTheme="minorEastAsia" w:eastAsiaTheme="minorEastAsia" w:cstheme="minorEastAsia"/>
          <w:color w:val="auto"/>
          <w:sz w:val="24"/>
          <w:szCs w:val="24"/>
          <w:shd w:val="clear" w:fill="FFFFFF"/>
        </w:rPr>
        <w:t>元，同比增长</w:t>
      </w:r>
      <w:r>
        <w:rPr>
          <w:rFonts w:hint="eastAsia" w:asciiTheme="minorEastAsia" w:hAnsiTheme="minorEastAsia" w:eastAsiaTheme="minorEastAsia" w:cstheme="minorEastAsia"/>
          <w:color w:val="auto"/>
          <w:sz w:val="24"/>
          <w:szCs w:val="24"/>
          <w:shd w:val="clear" w:fill="FFFFFF"/>
          <w:lang w:val="en-US" w:eastAsia="zh-CN"/>
        </w:rPr>
        <w:t>20.6</w:t>
      </w:r>
      <w:r>
        <w:rPr>
          <w:rFonts w:hint="eastAsia" w:asciiTheme="minorEastAsia" w:hAnsiTheme="minorEastAsia" w:eastAsiaTheme="minorEastAsia" w:cstheme="minorEastAsia"/>
          <w:color w:val="auto"/>
          <w:sz w:val="24"/>
          <w:szCs w:val="24"/>
          <w:shd w:val="clear" w:fill="FFFFFF"/>
        </w:rPr>
        <w:t>%。按消费形态统计，商品零售额</w:t>
      </w:r>
      <w:r>
        <w:rPr>
          <w:rFonts w:hint="eastAsia" w:asciiTheme="minorEastAsia" w:hAnsiTheme="minorEastAsia" w:eastAsiaTheme="minorEastAsia" w:cstheme="minorEastAsia"/>
          <w:color w:val="auto"/>
          <w:sz w:val="24"/>
          <w:szCs w:val="24"/>
          <w:shd w:val="clear" w:fill="FFFFFF"/>
          <w:lang w:val="en-US" w:eastAsia="zh-CN"/>
        </w:rPr>
        <w:t>396718万</w:t>
      </w:r>
      <w:r>
        <w:rPr>
          <w:rFonts w:hint="eastAsia" w:asciiTheme="minorEastAsia" w:hAnsiTheme="minorEastAsia" w:eastAsiaTheme="minorEastAsia" w:cstheme="minorEastAsia"/>
          <w:color w:val="auto"/>
          <w:sz w:val="24"/>
          <w:szCs w:val="24"/>
          <w:shd w:val="clear" w:fill="FFFFFF"/>
        </w:rPr>
        <w:t>元，同比增长</w:t>
      </w:r>
      <w:r>
        <w:rPr>
          <w:rFonts w:hint="eastAsia" w:asciiTheme="minorEastAsia" w:hAnsiTheme="minorEastAsia" w:eastAsiaTheme="minorEastAsia" w:cstheme="minorEastAsia"/>
          <w:color w:val="auto"/>
          <w:sz w:val="24"/>
          <w:szCs w:val="24"/>
          <w:shd w:val="clear" w:fill="FFFFFF"/>
          <w:lang w:val="en-US" w:eastAsia="zh-CN"/>
        </w:rPr>
        <w:t xml:space="preserve">2.6 </w:t>
      </w:r>
      <w:r>
        <w:rPr>
          <w:rFonts w:hint="eastAsia" w:asciiTheme="minorEastAsia" w:hAnsiTheme="minorEastAsia" w:eastAsiaTheme="minorEastAsia" w:cstheme="minorEastAsia"/>
          <w:color w:val="auto"/>
          <w:sz w:val="24"/>
          <w:szCs w:val="24"/>
          <w:shd w:val="clear" w:fill="FFFFFF"/>
        </w:rPr>
        <w:t>%；餐饮业收入额</w:t>
      </w:r>
      <w:r>
        <w:rPr>
          <w:rFonts w:hint="eastAsia" w:asciiTheme="minorEastAsia" w:hAnsiTheme="minorEastAsia" w:eastAsiaTheme="minorEastAsia" w:cstheme="minorEastAsia"/>
          <w:color w:val="auto"/>
          <w:sz w:val="24"/>
          <w:szCs w:val="24"/>
          <w:shd w:val="clear" w:fill="FFFFFF"/>
          <w:lang w:val="en-US" w:eastAsia="zh-CN"/>
        </w:rPr>
        <w:t>70137万</w:t>
      </w:r>
      <w:r>
        <w:rPr>
          <w:rFonts w:hint="eastAsia" w:asciiTheme="minorEastAsia" w:hAnsiTheme="minorEastAsia" w:eastAsiaTheme="minorEastAsia" w:cstheme="minorEastAsia"/>
          <w:color w:val="auto"/>
          <w:sz w:val="24"/>
          <w:szCs w:val="24"/>
          <w:shd w:val="clear" w:fill="FFFFFF"/>
        </w:rPr>
        <w:t>元，同比增长</w:t>
      </w:r>
      <w:r>
        <w:rPr>
          <w:rFonts w:hint="eastAsia" w:asciiTheme="minorEastAsia" w:hAnsiTheme="minorEastAsia" w:eastAsiaTheme="minorEastAsia" w:cstheme="minorEastAsia"/>
          <w:color w:val="auto"/>
          <w:sz w:val="24"/>
          <w:szCs w:val="24"/>
          <w:shd w:val="clear" w:fill="FFFFFF"/>
          <w:lang w:val="en-US" w:eastAsia="zh-CN"/>
        </w:rPr>
        <w:t>40.9</w:t>
      </w:r>
      <w:r>
        <w:rPr>
          <w:rFonts w:hint="eastAsia" w:asciiTheme="minorEastAsia" w:hAnsiTheme="minorEastAsia" w:eastAsiaTheme="minorEastAsia" w:cstheme="minorEastAsia"/>
          <w:color w:val="auto"/>
          <w:sz w:val="24"/>
          <w:szCs w:val="24"/>
          <w:shd w:val="clear" w:fill="FFFFFF"/>
        </w:rPr>
        <w:t xml:space="preserve">%。 </w:t>
      </w:r>
    </w:p>
    <w:p w14:paraId="7E368A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2" w:firstLineChars="200"/>
        <w:jc w:val="center"/>
        <w:textAlignment w:val="auto"/>
        <w:rPr>
          <w:rFonts w:hint="eastAsia" w:asciiTheme="minorEastAsia" w:hAnsiTheme="minorEastAsia" w:eastAsiaTheme="minorEastAsia" w:cstheme="minorEastAsia"/>
          <w:b/>
          <w:bCs/>
          <w:color w:val="auto"/>
          <w:sz w:val="24"/>
          <w:szCs w:val="24"/>
          <w:shd w:val="clear" w:fill="FFFFFF"/>
        </w:rPr>
      </w:pPr>
      <w:r>
        <w:rPr>
          <w:rFonts w:hint="eastAsia" w:asciiTheme="minorEastAsia" w:hAnsiTheme="minorEastAsia" w:eastAsiaTheme="minorEastAsia" w:cstheme="minorEastAsia"/>
          <w:b/>
          <w:bCs/>
          <w:color w:val="auto"/>
          <w:sz w:val="24"/>
          <w:szCs w:val="24"/>
          <w:shd w:val="clear" w:fill="FFFFFF"/>
        </w:rPr>
        <w:t>图6  2015-2019年社会消费品零售总额及其增长速度</w:t>
      </w:r>
    </w:p>
    <w:p w14:paraId="624061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mc:AlternateContent>
          <mc:Choice Requires="wpg">
            <w:drawing>
              <wp:inline distT="0" distB="0" distL="114300" distR="114300">
                <wp:extent cx="5154930" cy="3520440"/>
                <wp:effectExtent l="0" t="4445" r="7620" b="18415"/>
                <wp:docPr id="11" name="组合 11"/>
                <wp:cNvGraphicFramePr/>
                <a:graphic xmlns:a="http://schemas.openxmlformats.org/drawingml/2006/main">
                  <a:graphicData uri="http://schemas.microsoft.com/office/word/2010/wordprocessingGroup">
                    <wpg:wgp>
                      <wpg:cNvGrpSpPr/>
                      <wpg:grpSpPr>
                        <a:xfrm>
                          <a:off x="0" y="0"/>
                          <a:ext cx="5154930" cy="3520440"/>
                          <a:chOff x="2725" y="207175"/>
                          <a:chExt cx="8118" cy="5628"/>
                        </a:xfrm>
                      </wpg:grpSpPr>
                      <wpg:graphicFrame>
                        <wpg:cNvPr id="73866" name="图表 3"/>
                        <wpg:cNvFrPr/>
                        <wpg:xfrm>
                          <a:off x="2788" y="207175"/>
                          <a:ext cx="8037" cy="5628"/>
                        </wpg:xfrm>
                        <a:graphic>
                          <a:graphicData uri="http://schemas.openxmlformats.org/drawingml/2006/chart">
                            <c:chart xmlns:c="http://schemas.openxmlformats.org/drawingml/2006/chart" xmlns:r="http://schemas.openxmlformats.org/officeDocument/2006/relationships" r:id="rId12"/>
                          </a:graphicData>
                        </a:graphic>
                      </wpg:graphicFrame>
                      <wps:wsp>
                        <wps:cNvPr id="31" name="文本框 4"/>
                        <wps:cNvSpPr txBox="1"/>
                        <wps:spPr>
                          <a:xfrm>
                            <a:off x="10347" y="207322"/>
                            <a:ext cx="496" cy="4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3A8952A">
                              <w:pPr>
                                <w:pStyle w:val="5"/>
                                <w:kinsoku/>
                                <w:ind w:left="0"/>
                                <w:jc w:val="left"/>
                              </w:pPr>
                              <w:r>
                                <w:rPr>
                                  <w:rFonts w:asciiTheme="minorAscii" w:hAnsiTheme="minorBidi" w:eastAsiaTheme="minorEastAsia"/>
                                  <w:color w:val="000000" w:themeColor="dark1"/>
                                  <w:kern w:val="24"/>
                                  <w:sz w:val="22"/>
                                  <w:szCs w:val="22"/>
                                  <w14:textFill>
                                    <w14:solidFill>
                                      <w14:schemeClr w14:val="dk1"/>
                                    </w14:solidFill>
                                  </w14:textFill>
                                </w:rPr>
                                <w:t>%</w:t>
                              </w:r>
                            </w:p>
                          </w:txbxContent>
                        </wps:txbx>
                        <wps:bodyPr vertOverflow="clip" horzOverflow="clip" wrap="square" rtlCol="0" anchor="t"/>
                      </wps:wsp>
                      <wps:wsp>
                        <wps:cNvPr id="33" name="文本框 5"/>
                        <wps:cNvSpPr txBox="1"/>
                        <wps:spPr>
                          <a:xfrm>
                            <a:off x="2725" y="207228"/>
                            <a:ext cx="770" cy="46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7D24F64">
                              <w:pPr>
                                <w:pStyle w:val="5"/>
                                <w:kinsoku/>
                                <w:ind w:left="0"/>
                                <w:jc w:val="left"/>
                              </w:pPr>
                              <w:r>
                                <w:rPr>
                                  <w:rFonts w:asciiTheme="minorAscii" w:hAnsiTheme="minorBidi" w:eastAsiaTheme="minorEastAsia"/>
                                  <w:color w:val="000000" w:themeColor="dark1"/>
                                  <w:kern w:val="24"/>
                                  <w:sz w:val="20"/>
                                  <w:szCs w:val="20"/>
                                  <w14:textFill>
                                    <w14:solidFill>
                                      <w14:schemeClr w14:val="dk1"/>
                                    </w14:solidFill>
                                  </w14:textFill>
                                </w:rPr>
                                <w:t>亿元</w:t>
                              </w:r>
                            </w:p>
                          </w:txbxContent>
                        </wps:txbx>
                        <wps:bodyPr vertOverflow="clip" horzOverflow="clip" wrap="square" rtlCol="0" anchor="t">
                          <a:noAutofit/>
                        </wps:bodyPr>
                      </wps:wsp>
                    </wpg:wgp>
                  </a:graphicData>
                </a:graphic>
              </wp:inline>
            </w:drawing>
          </mc:Choice>
          <mc:Fallback>
            <w:pict>
              <v:group id="_x0000_s1026" o:spid="_x0000_s1026" o:spt="203" style="height:277.2pt;width:405.9pt;" coordorigin="2725,207175" coordsize="8118,5628" o:gfxdata="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">
                <o:lock v:ext="edit" aspectratio="f"/>
                <v:rect id="图表 3" o:spid="_x0000_s1026" o:spt="75" style="position:absolute;left:2781;top:207167;height:5643;width:8052;" coordsize="21600,21600" o:gfxdata="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nM3T&#10;wAAAAN4AAAAPAAAAAAAAAAEAIAAAACIAAABkcnMvZG93bnJldi54bWxQSwECFAAUAAAACACHTuJA&#10;My8FnjsAAAA5AAAAEAAAAAAAAAABACAAAAAPAQAAZHJzL3NoYXBleG1sLnhtbFBLBQYAAAAABgAG&#10;AFsBAAC5AwAAAAA=&#10;">
                  <v:imagedata r:id="rId13" o:title=""/>
                  <o:lock v:ext="edit"/>
                </v:rect>
                <v:shape id="文本框 4" o:spid="_x0000_s1026" o:spt="202" type="#_x0000_t202" style="position:absolute;left:10347;top:207322;height:401;width:496;"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73A8952A">
                        <w:pPr>
                          <w:pStyle w:val="5"/>
                          <w:kinsoku/>
                          <w:ind w:left="0"/>
                          <w:jc w:val="left"/>
                        </w:pPr>
                        <w:r>
                          <w:rPr>
                            <w:rFonts w:asciiTheme="minorAscii" w:hAnsiTheme="minorBidi" w:eastAsiaTheme="minorEastAsia"/>
                            <w:color w:val="000000" w:themeColor="dark1"/>
                            <w:kern w:val="24"/>
                            <w:sz w:val="22"/>
                            <w:szCs w:val="22"/>
                            <w14:textFill>
                              <w14:solidFill>
                                <w14:schemeClr w14:val="dk1"/>
                              </w14:solidFill>
                            </w14:textFill>
                          </w:rPr>
                          <w:t>%</w:t>
                        </w:r>
                      </w:p>
                    </w:txbxContent>
                  </v:textbox>
                </v:shape>
                <v:shape id="文本框 5" o:spid="_x0000_s1026" o:spt="202" type="#_x0000_t202" style="position:absolute;left:2725;top:207228;height:463;width:770;" filled="f" stroked="f" coordsize="21600,21600" o:gfxdata="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E4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57D24F64">
                        <w:pPr>
                          <w:pStyle w:val="5"/>
                          <w:kinsoku/>
                          <w:ind w:left="0"/>
                          <w:jc w:val="left"/>
                        </w:pPr>
                        <w:r>
                          <w:rPr>
                            <w:rFonts w:asciiTheme="minorAscii" w:hAnsiTheme="minorBidi" w:eastAsiaTheme="minorEastAsia"/>
                            <w:color w:val="000000" w:themeColor="dark1"/>
                            <w:kern w:val="24"/>
                            <w:sz w:val="20"/>
                            <w:szCs w:val="20"/>
                            <w14:textFill>
                              <w14:solidFill>
                                <w14:schemeClr w14:val="dk1"/>
                              </w14:solidFill>
                            </w14:textFill>
                          </w:rPr>
                          <w:t>亿元</w:t>
                        </w:r>
                      </w:p>
                    </w:txbxContent>
                  </v:textbox>
                </v:shape>
                <w10:wrap type="none"/>
                <w10:anchorlock/>
              </v:group>
            </w:pict>
          </mc:Fallback>
        </mc:AlternateContent>
      </w:r>
    </w:p>
    <w:p w14:paraId="37E155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shd w:val="clear" w:fill="FFFFFF"/>
          <w:lang w:val="en-US" w:eastAsia="zh-CN" w:bidi="ar"/>
        </w:rPr>
        <w:t>全年全县限额以上单位消费品零售额 23607万元，同比增长-14.1%。限额以上行业中，商品零售额18986万元，增长-11.5％；餐饮收入4621万元，增长-2.3％。</w:t>
      </w:r>
    </w:p>
    <w:p w14:paraId="79D3434D">
      <w:pPr>
        <w:keepNext w:val="0"/>
        <w:keepLines w:val="0"/>
        <w:pageBreakBefore w:val="0"/>
        <w:widowControl/>
        <w:kinsoku/>
        <w:wordWrap/>
        <w:overflowPunct/>
        <w:topLinePunct w:val="0"/>
        <w:autoSpaceDE/>
        <w:autoSpaceDN/>
        <w:bidi w:val="0"/>
        <w:adjustRightInd/>
        <w:snapToGrid/>
        <w:spacing w:before="126" w:beforeLines="40" w:after="157" w:afterLines="50"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表</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8</w:t>
      </w:r>
      <w:r>
        <w:rPr>
          <w:rFonts w:hint="eastAsia" w:asciiTheme="minorEastAsia" w:hAnsiTheme="minorEastAsia" w:eastAsiaTheme="minorEastAsia" w:cstheme="minorEastAsia"/>
          <w:b/>
          <w:bCs/>
          <w:color w:val="333333"/>
          <w:kern w:val="0"/>
          <w:sz w:val="24"/>
          <w:szCs w:val="24"/>
          <w:shd w:val="clear" w:color="auto" w:fill="FFFFFF"/>
          <w:lang w:bidi="ar"/>
        </w:rPr>
        <w:t>  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年社会消费品零售总额及其增长速度</w:t>
      </w:r>
    </w:p>
    <w:tbl>
      <w:tblPr>
        <w:tblStyle w:val="6"/>
        <w:tblW w:w="8540" w:type="dxa"/>
        <w:tblInd w:w="0" w:type="dxa"/>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Layout w:type="fixed"/>
        <w:tblCellMar>
          <w:top w:w="0" w:type="dxa"/>
          <w:left w:w="108" w:type="dxa"/>
          <w:bottom w:w="0" w:type="dxa"/>
          <w:right w:w="108" w:type="dxa"/>
        </w:tblCellMar>
      </w:tblPr>
      <w:tblGrid>
        <w:gridCol w:w="3586"/>
        <w:gridCol w:w="2625"/>
        <w:gridCol w:w="2329"/>
      </w:tblGrid>
      <w:tr w14:paraId="26482AA5">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8" w:hRule="exact"/>
        </w:trPr>
        <w:tc>
          <w:tcPr>
            <w:tcW w:w="3586" w:type="dxa"/>
            <w:tcBorders>
              <w:top w:val="single" w:color="auto" w:sz="12" w:space="0"/>
              <w:bottom w:val="single" w:color="auto" w:sz="8" w:space="0"/>
              <w:right w:val="single" w:color="auto" w:sz="8" w:space="0"/>
            </w:tcBorders>
            <w:noWrap w:val="0"/>
            <w:vAlign w:val="center"/>
          </w:tcPr>
          <w:p w14:paraId="610BEA24">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指     标</w:t>
            </w:r>
          </w:p>
        </w:tc>
        <w:tc>
          <w:tcPr>
            <w:tcW w:w="2625" w:type="dxa"/>
            <w:tcBorders>
              <w:top w:val="single" w:color="auto" w:sz="12" w:space="0"/>
              <w:left w:val="single" w:color="auto" w:sz="8" w:space="0"/>
              <w:bottom w:val="single" w:color="auto" w:sz="8" w:space="0"/>
              <w:right w:val="single" w:color="auto" w:sz="8" w:space="0"/>
            </w:tcBorders>
            <w:noWrap w:val="0"/>
            <w:vAlign w:val="center"/>
          </w:tcPr>
          <w:p w14:paraId="3E1F2829">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绝对数（</w:t>
            </w:r>
            <w:r>
              <w:rPr>
                <w:rFonts w:hint="eastAsia" w:asciiTheme="minorEastAsia" w:hAnsiTheme="minorEastAsia" w:eastAsiaTheme="minorEastAsia" w:cstheme="minorEastAsia"/>
                <w:b/>
                <w:bCs/>
                <w:color w:val="333333"/>
                <w:kern w:val="0"/>
                <w:sz w:val="24"/>
                <w:szCs w:val="24"/>
                <w:shd w:val="clear" w:color="auto" w:fill="FFFFFF"/>
                <w:lang w:eastAsia="zh-CN" w:bidi="ar"/>
              </w:rPr>
              <w:t>万</w:t>
            </w:r>
            <w:r>
              <w:rPr>
                <w:rFonts w:hint="eastAsia" w:asciiTheme="minorEastAsia" w:hAnsiTheme="minorEastAsia" w:eastAsiaTheme="minorEastAsia" w:cstheme="minorEastAsia"/>
                <w:b/>
                <w:bCs/>
                <w:color w:val="333333"/>
                <w:kern w:val="0"/>
                <w:sz w:val="24"/>
                <w:szCs w:val="24"/>
                <w:shd w:val="clear" w:color="auto" w:fill="FFFFFF"/>
                <w:lang w:bidi="ar"/>
              </w:rPr>
              <w:t>元）</w:t>
            </w:r>
          </w:p>
        </w:tc>
        <w:tc>
          <w:tcPr>
            <w:tcW w:w="2329" w:type="dxa"/>
            <w:tcBorders>
              <w:top w:val="single" w:color="auto" w:sz="12" w:space="0"/>
              <w:left w:val="single" w:color="auto" w:sz="8" w:space="0"/>
              <w:bottom w:val="single" w:color="auto" w:sz="8" w:space="0"/>
            </w:tcBorders>
            <w:noWrap w:val="0"/>
            <w:vAlign w:val="center"/>
          </w:tcPr>
          <w:p w14:paraId="44DC0CE7">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比上年增长（%）</w:t>
            </w:r>
          </w:p>
        </w:tc>
      </w:tr>
      <w:tr w14:paraId="0EA71DB0">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8" w:hRule="exact"/>
        </w:trPr>
        <w:tc>
          <w:tcPr>
            <w:tcW w:w="3586" w:type="dxa"/>
            <w:tcBorders>
              <w:top w:val="single" w:color="auto" w:sz="8" w:space="0"/>
              <w:bottom w:val="nil"/>
              <w:right w:val="single" w:color="auto" w:sz="8" w:space="0"/>
            </w:tcBorders>
            <w:noWrap w:val="0"/>
            <w:vAlign w:val="center"/>
          </w:tcPr>
          <w:p w14:paraId="6A1B8EB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社会消费品零售总额</w:t>
            </w:r>
          </w:p>
        </w:tc>
        <w:tc>
          <w:tcPr>
            <w:tcW w:w="2625" w:type="dxa"/>
            <w:tcBorders>
              <w:top w:val="single" w:color="auto" w:sz="8" w:space="0"/>
              <w:left w:val="single" w:color="auto" w:sz="8" w:space="0"/>
              <w:bottom w:val="nil"/>
              <w:right w:val="single" w:color="auto" w:sz="8" w:space="0"/>
            </w:tcBorders>
            <w:noWrap w:val="0"/>
            <w:vAlign w:val="center"/>
          </w:tcPr>
          <w:p w14:paraId="52CAD00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466855</w:t>
            </w:r>
          </w:p>
        </w:tc>
        <w:tc>
          <w:tcPr>
            <w:tcW w:w="2329" w:type="dxa"/>
            <w:tcBorders>
              <w:top w:val="single" w:color="auto" w:sz="8" w:space="0"/>
              <w:left w:val="single" w:color="auto" w:sz="8" w:space="0"/>
              <w:bottom w:val="nil"/>
            </w:tcBorders>
            <w:noWrap w:val="0"/>
            <w:vAlign w:val="center"/>
          </w:tcPr>
          <w:p w14:paraId="63942395">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7.0</w:t>
            </w:r>
          </w:p>
        </w:tc>
      </w:tr>
      <w:tr w14:paraId="13647C09">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8" w:hRule="exact"/>
        </w:trPr>
        <w:tc>
          <w:tcPr>
            <w:tcW w:w="3586" w:type="dxa"/>
            <w:tcBorders>
              <w:top w:val="nil"/>
              <w:bottom w:val="nil"/>
              <w:right w:val="single" w:color="auto" w:sz="8" w:space="0"/>
            </w:tcBorders>
            <w:noWrap w:val="0"/>
            <w:vAlign w:val="center"/>
          </w:tcPr>
          <w:p w14:paraId="502D4E17">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分地域：城  镇</w:t>
            </w:r>
          </w:p>
        </w:tc>
        <w:tc>
          <w:tcPr>
            <w:tcW w:w="2625" w:type="dxa"/>
            <w:tcBorders>
              <w:top w:val="nil"/>
              <w:left w:val="single" w:color="auto" w:sz="8" w:space="0"/>
              <w:bottom w:val="nil"/>
              <w:right w:val="single" w:color="auto" w:sz="8" w:space="0"/>
            </w:tcBorders>
            <w:noWrap w:val="0"/>
            <w:vAlign w:val="center"/>
          </w:tcPr>
          <w:p w14:paraId="31839453">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373118</w:t>
            </w:r>
          </w:p>
        </w:tc>
        <w:tc>
          <w:tcPr>
            <w:tcW w:w="2329" w:type="dxa"/>
            <w:tcBorders>
              <w:top w:val="nil"/>
              <w:left w:val="single" w:color="auto" w:sz="8" w:space="0"/>
              <w:bottom w:val="nil"/>
            </w:tcBorders>
            <w:noWrap w:val="0"/>
            <w:vAlign w:val="center"/>
          </w:tcPr>
          <w:p w14:paraId="769349EB">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4.0</w:t>
            </w:r>
          </w:p>
        </w:tc>
      </w:tr>
      <w:tr w14:paraId="6B7B7A13">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8" w:hRule="exact"/>
        </w:trPr>
        <w:tc>
          <w:tcPr>
            <w:tcW w:w="3586" w:type="dxa"/>
            <w:tcBorders>
              <w:top w:val="nil"/>
              <w:bottom w:val="nil"/>
              <w:right w:val="single" w:color="auto" w:sz="8" w:space="0"/>
            </w:tcBorders>
            <w:noWrap w:val="0"/>
            <w:vAlign w:val="center"/>
          </w:tcPr>
          <w:p w14:paraId="4068773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乡  村</w:t>
            </w:r>
          </w:p>
        </w:tc>
        <w:tc>
          <w:tcPr>
            <w:tcW w:w="2625" w:type="dxa"/>
            <w:tcBorders>
              <w:top w:val="nil"/>
              <w:left w:val="single" w:color="auto" w:sz="8" w:space="0"/>
              <w:bottom w:val="nil"/>
              <w:right w:val="single" w:color="auto" w:sz="8" w:space="0"/>
            </w:tcBorders>
            <w:noWrap w:val="0"/>
            <w:vAlign w:val="center"/>
          </w:tcPr>
          <w:p w14:paraId="11391A64">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93737</w:t>
            </w:r>
          </w:p>
        </w:tc>
        <w:tc>
          <w:tcPr>
            <w:tcW w:w="2329" w:type="dxa"/>
            <w:tcBorders>
              <w:top w:val="nil"/>
              <w:left w:val="single" w:color="auto" w:sz="8" w:space="0"/>
              <w:bottom w:val="nil"/>
            </w:tcBorders>
            <w:noWrap w:val="0"/>
            <w:vAlign w:val="center"/>
          </w:tcPr>
          <w:p w14:paraId="3A99DC2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20.6</w:t>
            </w:r>
          </w:p>
        </w:tc>
      </w:tr>
      <w:tr w14:paraId="5E65BEDA">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8" w:hRule="exact"/>
        </w:trPr>
        <w:tc>
          <w:tcPr>
            <w:tcW w:w="3586" w:type="dxa"/>
            <w:tcBorders>
              <w:top w:val="nil"/>
              <w:bottom w:val="nil"/>
              <w:right w:val="single" w:color="auto" w:sz="8" w:space="0"/>
            </w:tcBorders>
            <w:noWrap w:val="0"/>
            <w:vAlign w:val="center"/>
          </w:tcPr>
          <w:p w14:paraId="5390AC6C">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分行业：批发业</w:t>
            </w:r>
          </w:p>
        </w:tc>
        <w:tc>
          <w:tcPr>
            <w:tcW w:w="2625" w:type="dxa"/>
            <w:tcBorders>
              <w:top w:val="nil"/>
              <w:left w:val="single" w:color="auto" w:sz="8" w:space="0"/>
              <w:bottom w:val="nil"/>
              <w:right w:val="single" w:color="auto" w:sz="8" w:space="0"/>
            </w:tcBorders>
            <w:noWrap w:val="0"/>
            <w:vAlign w:val="center"/>
          </w:tcPr>
          <w:p w14:paraId="746F16DE">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68466</w:t>
            </w:r>
          </w:p>
        </w:tc>
        <w:tc>
          <w:tcPr>
            <w:tcW w:w="2329" w:type="dxa"/>
            <w:tcBorders>
              <w:top w:val="nil"/>
              <w:left w:val="single" w:color="auto" w:sz="8" w:space="0"/>
              <w:bottom w:val="nil"/>
            </w:tcBorders>
            <w:noWrap w:val="0"/>
            <w:vAlign w:val="center"/>
          </w:tcPr>
          <w:p w14:paraId="03AF158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8.6</w:t>
            </w:r>
          </w:p>
        </w:tc>
      </w:tr>
      <w:tr w14:paraId="4899AAB4">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8" w:hRule="exact"/>
        </w:trPr>
        <w:tc>
          <w:tcPr>
            <w:tcW w:w="3586" w:type="dxa"/>
            <w:tcBorders>
              <w:top w:val="nil"/>
              <w:bottom w:val="nil"/>
              <w:right w:val="single" w:color="auto" w:sz="8" w:space="0"/>
            </w:tcBorders>
            <w:noWrap w:val="0"/>
            <w:vAlign w:val="center"/>
          </w:tcPr>
          <w:p w14:paraId="25DC75D3">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零售业</w:t>
            </w:r>
          </w:p>
        </w:tc>
        <w:tc>
          <w:tcPr>
            <w:tcW w:w="2625" w:type="dxa"/>
            <w:tcBorders>
              <w:top w:val="nil"/>
              <w:left w:val="single" w:color="auto" w:sz="8" w:space="0"/>
              <w:bottom w:val="nil"/>
              <w:right w:val="single" w:color="auto" w:sz="8" w:space="0"/>
            </w:tcBorders>
            <w:noWrap w:val="0"/>
            <w:vAlign w:val="center"/>
          </w:tcPr>
          <w:p w14:paraId="221432EA">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326514</w:t>
            </w:r>
          </w:p>
        </w:tc>
        <w:tc>
          <w:tcPr>
            <w:tcW w:w="2329" w:type="dxa"/>
            <w:tcBorders>
              <w:top w:val="nil"/>
              <w:left w:val="single" w:color="auto" w:sz="8" w:space="0"/>
              <w:bottom w:val="nil"/>
            </w:tcBorders>
            <w:noWrap w:val="0"/>
            <w:vAlign w:val="center"/>
          </w:tcPr>
          <w:p w14:paraId="39864664">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w:t>
            </w:r>
          </w:p>
        </w:tc>
      </w:tr>
      <w:tr w14:paraId="1FB80B68">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8" w:hRule="exact"/>
        </w:trPr>
        <w:tc>
          <w:tcPr>
            <w:tcW w:w="3586" w:type="dxa"/>
            <w:tcBorders>
              <w:top w:val="nil"/>
              <w:bottom w:val="nil"/>
              <w:right w:val="single" w:color="auto" w:sz="8" w:space="0"/>
            </w:tcBorders>
            <w:noWrap w:val="0"/>
            <w:vAlign w:val="center"/>
          </w:tcPr>
          <w:p w14:paraId="5F9B9914">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住宿业</w:t>
            </w:r>
          </w:p>
        </w:tc>
        <w:tc>
          <w:tcPr>
            <w:tcW w:w="2625" w:type="dxa"/>
            <w:tcBorders>
              <w:top w:val="nil"/>
              <w:left w:val="single" w:color="auto" w:sz="8" w:space="0"/>
              <w:bottom w:val="nil"/>
              <w:right w:val="single" w:color="auto" w:sz="8" w:space="0"/>
            </w:tcBorders>
            <w:noWrap w:val="0"/>
            <w:vAlign w:val="center"/>
          </w:tcPr>
          <w:p w14:paraId="4D5D876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13447</w:t>
            </w:r>
          </w:p>
        </w:tc>
        <w:tc>
          <w:tcPr>
            <w:tcW w:w="2329" w:type="dxa"/>
            <w:tcBorders>
              <w:top w:val="nil"/>
              <w:left w:val="single" w:color="auto" w:sz="8" w:space="0"/>
              <w:bottom w:val="nil"/>
            </w:tcBorders>
            <w:noWrap w:val="0"/>
            <w:vAlign w:val="center"/>
          </w:tcPr>
          <w:p w14:paraId="7E579164">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21.6</w:t>
            </w:r>
          </w:p>
        </w:tc>
      </w:tr>
      <w:tr w14:paraId="6BEFE85A">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629" w:hRule="exact"/>
        </w:trPr>
        <w:tc>
          <w:tcPr>
            <w:tcW w:w="3586" w:type="dxa"/>
            <w:tcBorders>
              <w:top w:val="nil"/>
              <w:bottom w:val="single" w:color="auto" w:sz="12" w:space="0"/>
              <w:right w:val="single" w:color="auto" w:sz="8" w:space="0"/>
            </w:tcBorders>
            <w:noWrap w:val="0"/>
            <w:vAlign w:val="center"/>
          </w:tcPr>
          <w:p w14:paraId="069F414E">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餐饮业</w:t>
            </w:r>
          </w:p>
        </w:tc>
        <w:tc>
          <w:tcPr>
            <w:tcW w:w="2625" w:type="dxa"/>
            <w:tcBorders>
              <w:top w:val="nil"/>
              <w:left w:val="single" w:color="auto" w:sz="8" w:space="0"/>
              <w:bottom w:val="single" w:color="auto" w:sz="12" w:space="0"/>
              <w:right w:val="single" w:color="auto" w:sz="8" w:space="0"/>
            </w:tcBorders>
            <w:noWrap w:val="0"/>
            <w:vAlign w:val="center"/>
          </w:tcPr>
          <w:p w14:paraId="2912232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58428</w:t>
            </w:r>
          </w:p>
        </w:tc>
        <w:tc>
          <w:tcPr>
            <w:tcW w:w="2329" w:type="dxa"/>
            <w:tcBorders>
              <w:top w:val="nil"/>
              <w:left w:val="single" w:color="auto" w:sz="8" w:space="0"/>
              <w:bottom w:val="single" w:color="auto" w:sz="12" w:space="0"/>
            </w:tcBorders>
            <w:noWrap w:val="0"/>
            <w:vAlign w:val="center"/>
          </w:tcPr>
          <w:p w14:paraId="0D0C314E">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45</w:t>
            </w:r>
          </w:p>
        </w:tc>
      </w:tr>
    </w:tbl>
    <w:p w14:paraId="261B0FEB">
      <w:pPr>
        <w:keepNext w:val="0"/>
        <w:keepLines w:val="0"/>
        <w:pageBreakBefore w:val="0"/>
        <w:widowControl/>
        <w:kinsoku/>
        <w:wordWrap/>
        <w:overflowPunct/>
        <w:topLinePunct w:val="0"/>
        <w:autoSpaceDE/>
        <w:autoSpaceDN/>
        <w:bidi w:val="0"/>
        <w:adjustRightInd/>
        <w:snapToGrid/>
        <w:spacing w:before="95" w:beforeLines="30" w:after="95" w:afterLines="30" w:line="360" w:lineRule="auto"/>
        <w:ind w:firstLine="480"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5015230</wp:posOffset>
                </wp:positionH>
                <wp:positionV relativeFrom="paragraph">
                  <wp:posOffset>-3048000</wp:posOffset>
                </wp:positionV>
                <wp:extent cx="266700" cy="275590"/>
                <wp:effectExtent l="0" t="0" r="7620" b="13970"/>
                <wp:wrapNone/>
                <wp:docPr id="1" name="文本框 1"/>
                <wp:cNvGraphicFramePr/>
                <a:graphic xmlns:a="http://schemas.openxmlformats.org/drawingml/2006/main">
                  <a:graphicData uri="http://schemas.microsoft.com/office/word/2010/wordprocessingShape">
                    <wps:wsp>
                      <wps:cNvSpPr txBox="1"/>
                      <wps:spPr>
                        <a:xfrm>
                          <a:off x="0" y="0"/>
                          <a:ext cx="266700" cy="275590"/>
                        </a:xfrm>
                        <a:prstGeom prst="rect">
                          <a:avLst/>
                        </a:prstGeom>
                        <a:solidFill>
                          <a:srgbClr val="FFFFFF"/>
                        </a:solidFill>
                        <a:ln>
                          <a:noFill/>
                        </a:ln>
                      </wps:spPr>
                      <wps:txbx>
                        <w:txbxContent>
                          <w:p w14:paraId="489E4F01">
                            <w:pPr>
                              <w:rPr>
                                <w:rFonts w:hint="eastAsia"/>
                              </w:rPr>
                            </w:pPr>
                            <w:r>
                              <w:rPr>
                                <w:rFonts w:hint="eastAsia"/>
                              </w:rPr>
                              <w:t>%</w:t>
                            </w:r>
                          </w:p>
                        </w:txbxContent>
                      </wps:txbx>
                      <wps:bodyPr upright="1"/>
                    </wps:wsp>
                  </a:graphicData>
                </a:graphic>
              </wp:anchor>
            </w:drawing>
          </mc:Choice>
          <mc:Fallback>
            <w:pict>
              <v:shape id="_x0000_s1026" o:spid="_x0000_s1026" o:spt="202" type="#_x0000_t202" style="position:absolute;left:0pt;margin-left:394.9pt;margin-top:-240pt;height:21.7pt;width:21pt;z-index:251661312;mso-width-relative:page;mso-height-relative:page;" fillcolor="#FFFFFF" filled="t" stroked="f" coordsize="21600,21600" o:gfxdata="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KRfAf2QAAAA0BAAAPAAAAAAAAAAEAIAAAACIAAABkcnMvZG93bnJldi54&#10;bWxQSwECFAAUAAAACACHTuJAYoFzqsABAAB2AwAADgAAAAAAAAABACAAAAAoAQAAZHJzL2Uyb0Rv&#10;Yy54bWxQSwUGAAAAAAYABgBZAQAAWgUAAAAA&#10;">
                <v:fill on="t" focussize="0,0"/>
                <v:stroke on="f"/>
                <v:imagedata o:title=""/>
                <o:lock v:ext="edit" aspectratio="f"/>
                <v:textbox>
                  <w:txbxContent>
                    <w:p w14:paraId="489E4F01">
                      <w:pPr>
                        <w:rPr>
                          <w:rFonts w:hint="eastAsia"/>
                        </w:rPr>
                      </w:pPr>
                      <w:r>
                        <w:rPr>
                          <w:rFonts w:hint="eastAsia"/>
                        </w:rPr>
                        <w:t>%</w:t>
                      </w:r>
                    </w:p>
                  </w:txbxContent>
                </v:textbox>
              </v:shape>
            </w:pict>
          </mc:Fallback>
        </mc:AlternateContent>
      </w:r>
      <w:r>
        <w:rPr>
          <w:rFonts w:hint="eastAsia" w:asciiTheme="minorEastAsia" w:hAnsiTheme="minorEastAsia" w:eastAsiaTheme="minorEastAsia" w:cstheme="minorEastAsia"/>
          <w:b/>
          <w:bCs/>
          <w:color w:val="333333"/>
          <w:kern w:val="0"/>
          <w:sz w:val="24"/>
          <w:szCs w:val="24"/>
          <w:shd w:val="clear" w:color="auto" w:fill="FFFFFF"/>
          <w:lang w:bidi="ar"/>
        </w:rPr>
        <w:t>表</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  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年</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限额以上批发</w:t>
      </w:r>
      <w:r>
        <w:rPr>
          <w:rFonts w:hint="eastAsia" w:asciiTheme="minorEastAsia" w:hAnsiTheme="minorEastAsia" w:eastAsiaTheme="minorEastAsia" w:cstheme="minorEastAsia"/>
          <w:b/>
          <w:bCs/>
          <w:color w:val="333333"/>
          <w:kern w:val="0"/>
          <w:sz w:val="24"/>
          <w:szCs w:val="24"/>
          <w:shd w:val="clear" w:color="auto" w:fill="FFFFFF"/>
          <w:lang w:bidi="ar"/>
        </w:rPr>
        <w:t>零售</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业零售</w:t>
      </w:r>
      <w:r>
        <w:rPr>
          <w:rFonts w:hint="eastAsia" w:asciiTheme="minorEastAsia" w:hAnsiTheme="minorEastAsia" w:eastAsiaTheme="minorEastAsia" w:cstheme="minorEastAsia"/>
          <w:b/>
          <w:bCs/>
          <w:color w:val="333333"/>
          <w:kern w:val="0"/>
          <w:sz w:val="24"/>
          <w:szCs w:val="24"/>
          <w:shd w:val="clear" w:color="auto" w:fill="FFFFFF"/>
          <w:lang w:bidi="ar"/>
        </w:rPr>
        <w:t>额及其增长速度</w:t>
      </w:r>
    </w:p>
    <w:tbl>
      <w:tblPr>
        <w:tblStyle w:val="6"/>
        <w:tblW w:w="8540" w:type="dxa"/>
        <w:tblInd w:w="0" w:type="dxa"/>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Layout w:type="fixed"/>
        <w:tblCellMar>
          <w:top w:w="0" w:type="dxa"/>
          <w:left w:w="108" w:type="dxa"/>
          <w:bottom w:w="0" w:type="dxa"/>
          <w:right w:w="108" w:type="dxa"/>
        </w:tblCellMar>
      </w:tblPr>
      <w:tblGrid>
        <w:gridCol w:w="3586"/>
        <w:gridCol w:w="2625"/>
        <w:gridCol w:w="2329"/>
      </w:tblGrid>
      <w:tr w14:paraId="25B283FF">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678" w:hRule="atLeast"/>
        </w:trPr>
        <w:tc>
          <w:tcPr>
            <w:tcW w:w="3586" w:type="dxa"/>
            <w:tcBorders>
              <w:top w:val="single" w:color="auto" w:sz="12" w:space="0"/>
              <w:bottom w:val="single" w:color="auto" w:sz="8" w:space="0"/>
              <w:right w:val="single" w:color="auto" w:sz="8" w:space="0"/>
            </w:tcBorders>
            <w:noWrap w:val="0"/>
            <w:vAlign w:val="center"/>
          </w:tcPr>
          <w:p w14:paraId="12C9D9BD">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指     标</w:t>
            </w:r>
          </w:p>
        </w:tc>
        <w:tc>
          <w:tcPr>
            <w:tcW w:w="2625" w:type="dxa"/>
            <w:tcBorders>
              <w:top w:val="single" w:color="auto" w:sz="12" w:space="0"/>
              <w:left w:val="single" w:color="auto" w:sz="8" w:space="0"/>
              <w:bottom w:val="single" w:color="auto" w:sz="8" w:space="0"/>
              <w:right w:val="single" w:color="auto" w:sz="8" w:space="0"/>
            </w:tcBorders>
            <w:noWrap w:val="0"/>
            <w:vAlign w:val="center"/>
          </w:tcPr>
          <w:p w14:paraId="6DEBC448">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绝对数（</w:t>
            </w:r>
            <w:r>
              <w:rPr>
                <w:rFonts w:hint="eastAsia" w:asciiTheme="minorEastAsia" w:hAnsiTheme="minorEastAsia" w:eastAsiaTheme="minorEastAsia" w:cstheme="minorEastAsia"/>
                <w:b/>
                <w:bCs/>
                <w:color w:val="333333"/>
                <w:kern w:val="0"/>
                <w:sz w:val="24"/>
                <w:szCs w:val="24"/>
                <w:shd w:val="clear" w:color="auto" w:fill="FFFFFF"/>
                <w:lang w:eastAsia="zh-CN" w:bidi="ar"/>
              </w:rPr>
              <w:t>万</w:t>
            </w:r>
            <w:r>
              <w:rPr>
                <w:rFonts w:hint="eastAsia" w:asciiTheme="minorEastAsia" w:hAnsiTheme="minorEastAsia" w:eastAsiaTheme="minorEastAsia" w:cstheme="minorEastAsia"/>
                <w:b/>
                <w:bCs/>
                <w:color w:val="333333"/>
                <w:kern w:val="0"/>
                <w:sz w:val="24"/>
                <w:szCs w:val="24"/>
                <w:shd w:val="clear" w:color="auto" w:fill="FFFFFF"/>
                <w:lang w:bidi="ar"/>
              </w:rPr>
              <w:t>元）</w:t>
            </w:r>
          </w:p>
        </w:tc>
        <w:tc>
          <w:tcPr>
            <w:tcW w:w="2329" w:type="dxa"/>
            <w:tcBorders>
              <w:top w:val="single" w:color="auto" w:sz="12" w:space="0"/>
              <w:left w:val="single" w:color="auto" w:sz="8" w:space="0"/>
              <w:bottom w:val="single" w:color="auto" w:sz="8" w:space="0"/>
            </w:tcBorders>
            <w:noWrap w:val="0"/>
            <w:vAlign w:val="center"/>
          </w:tcPr>
          <w:p w14:paraId="3617B17D">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比上年增长（%）</w:t>
            </w:r>
          </w:p>
        </w:tc>
      </w:tr>
      <w:tr w14:paraId="62C7AB03">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605" w:hRule="atLeast"/>
        </w:trPr>
        <w:tc>
          <w:tcPr>
            <w:tcW w:w="3586" w:type="dxa"/>
            <w:tcBorders>
              <w:top w:val="single" w:color="auto" w:sz="8" w:space="0"/>
              <w:bottom w:val="nil"/>
              <w:right w:val="single" w:color="auto" w:sz="8" w:space="0"/>
            </w:tcBorders>
            <w:noWrap w:val="0"/>
            <w:vAlign w:val="center"/>
          </w:tcPr>
          <w:p w14:paraId="2F832460">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汽车类</w:t>
            </w:r>
          </w:p>
        </w:tc>
        <w:tc>
          <w:tcPr>
            <w:tcW w:w="2625" w:type="dxa"/>
            <w:tcBorders>
              <w:top w:val="single" w:color="auto" w:sz="8" w:space="0"/>
              <w:left w:val="single" w:color="auto" w:sz="8" w:space="0"/>
              <w:bottom w:val="nil"/>
              <w:right w:val="single" w:color="auto" w:sz="8" w:space="0"/>
            </w:tcBorders>
            <w:noWrap w:val="0"/>
            <w:vAlign w:val="center"/>
          </w:tcPr>
          <w:p w14:paraId="47FAADB8">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4305</w:t>
            </w:r>
          </w:p>
        </w:tc>
        <w:tc>
          <w:tcPr>
            <w:tcW w:w="2329" w:type="dxa"/>
            <w:tcBorders>
              <w:top w:val="single" w:color="auto" w:sz="8" w:space="0"/>
              <w:left w:val="single" w:color="auto" w:sz="8" w:space="0"/>
              <w:bottom w:val="nil"/>
            </w:tcBorders>
            <w:noWrap w:val="0"/>
            <w:vAlign w:val="center"/>
          </w:tcPr>
          <w:p w14:paraId="5375F572">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0.4</w:t>
            </w:r>
          </w:p>
        </w:tc>
      </w:tr>
      <w:tr w14:paraId="3AF54E60">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85" w:hRule="atLeast"/>
        </w:trPr>
        <w:tc>
          <w:tcPr>
            <w:tcW w:w="3586" w:type="dxa"/>
            <w:tcBorders>
              <w:top w:val="nil"/>
              <w:bottom w:val="nil"/>
              <w:right w:val="single" w:color="auto" w:sz="8" w:space="0"/>
            </w:tcBorders>
            <w:noWrap w:val="0"/>
            <w:vAlign w:val="center"/>
          </w:tcPr>
          <w:p w14:paraId="45A793B6">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石油及制品类</w:t>
            </w:r>
          </w:p>
        </w:tc>
        <w:tc>
          <w:tcPr>
            <w:tcW w:w="2625" w:type="dxa"/>
            <w:tcBorders>
              <w:top w:val="nil"/>
              <w:left w:val="single" w:color="auto" w:sz="8" w:space="0"/>
              <w:bottom w:val="nil"/>
              <w:right w:val="single" w:color="auto" w:sz="8" w:space="0"/>
            </w:tcBorders>
            <w:noWrap w:val="0"/>
            <w:vAlign w:val="center"/>
          </w:tcPr>
          <w:p w14:paraId="6FE6836C">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25</w:t>
            </w:r>
          </w:p>
        </w:tc>
        <w:tc>
          <w:tcPr>
            <w:tcW w:w="2329" w:type="dxa"/>
            <w:tcBorders>
              <w:top w:val="nil"/>
              <w:left w:val="single" w:color="auto" w:sz="8" w:space="0"/>
              <w:bottom w:val="nil"/>
            </w:tcBorders>
            <w:noWrap w:val="0"/>
            <w:vAlign w:val="center"/>
          </w:tcPr>
          <w:p w14:paraId="4D65F194">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-80.3</w:t>
            </w:r>
          </w:p>
        </w:tc>
      </w:tr>
      <w:tr w14:paraId="69F5663A">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85" w:hRule="atLeast"/>
        </w:trPr>
        <w:tc>
          <w:tcPr>
            <w:tcW w:w="3586" w:type="dxa"/>
            <w:tcBorders>
              <w:top w:val="nil"/>
              <w:bottom w:val="nil"/>
              <w:right w:val="single" w:color="auto" w:sz="8" w:space="0"/>
            </w:tcBorders>
            <w:noWrap w:val="0"/>
            <w:vAlign w:val="center"/>
          </w:tcPr>
          <w:p w14:paraId="2F2761B7">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金银珠宝类</w:t>
            </w:r>
          </w:p>
        </w:tc>
        <w:tc>
          <w:tcPr>
            <w:tcW w:w="2625" w:type="dxa"/>
            <w:tcBorders>
              <w:top w:val="nil"/>
              <w:left w:val="single" w:color="auto" w:sz="8" w:space="0"/>
              <w:bottom w:val="nil"/>
              <w:right w:val="single" w:color="auto" w:sz="8" w:space="0"/>
            </w:tcBorders>
            <w:noWrap w:val="0"/>
            <w:vAlign w:val="center"/>
          </w:tcPr>
          <w:p w14:paraId="7552BE2E">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339</w:t>
            </w:r>
          </w:p>
        </w:tc>
        <w:tc>
          <w:tcPr>
            <w:tcW w:w="2329" w:type="dxa"/>
            <w:tcBorders>
              <w:top w:val="nil"/>
              <w:left w:val="single" w:color="auto" w:sz="8" w:space="0"/>
              <w:bottom w:val="nil"/>
            </w:tcBorders>
            <w:noWrap w:val="0"/>
            <w:vAlign w:val="center"/>
          </w:tcPr>
          <w:p w14:paraId="2C48552B">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-8.7</w:t>
            </w:r>
          </w:p>
        </w:tc>
      </w:tr>
      <w:tr w14:paraId="1DAEE459">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85" w:hRule="atLeast"/>
        </w:trPr>
        <w:tc>
          <w:tcPr>
            <w:tcW w:w="3586" w:type="dxa"/>
            <w:tcBorders>
              <w:top w:val="nil"/>
              <w:bottom w:val="nil"/>
              <w:right w:val="single" w:color="auto" w:sz="8" w:space="0"/>
            </w:tcBorders>
            <w:noWrap w:val="0"/>
            <w:vAlign w:val="center"/>
          </w:tcPr>
          <w:p w14:paraId="29356917">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家用电器和音响器材类</w:t>
            </w:r>
          </w:p>
        </w:tc>
        <w:tc>
          <w:tcPr>
            <w:tcW w:w="2625" w:type="dxa"/>
            <w:tcBorders>
              <w:top w:val="nil"/>
              <w:left w:val="single" w:color="auto" w:sz="8" w:space="0"/>
              <w:bottom w:val="nil"/>
              <w:right w:val="single" w:color="auto" w:sz="8" w:space="0"/>
            </w:tcBorders>
            <w:noWrap w:val="0"/>
            <w:vAlign w:val="center"/>
          </w:tcPr>
          <w:p w14:paraId="18D23EEC">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3549</w:t>
            </w:r>
          </w:p>
        </w:tc>
        <w:tc>
          <w:tcPr>
            <w:tcW w:w="2329" w:type="dxa"/>
            <w:tcBorders>
              <w:top w:val="nil"/>
              <w:left w:val="single" w:color="auto" w:sz="8" w:space="0"/>
              <w:bottom w:val="nil"/>
            </w:tcBorders>
            <w:noWrap w:val="0"/>
            <w:vAlign w:val="center"/>
          </w:tcPr>
          <w:p w14:paraId="18BDA91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29</w:t>
            </w:r>
          </w:p>
        </w:tc>
      </w:tr>
      <w:tr w14:paraId="4F51A0AC">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85" w:hRule="atLeast"/>
        </w:trPr>
        <w:tc>
          <w:tcPr>
            <w:tcW w:w="3586" w:type="dxa"/>
            <w:tcBorders>
              <w:top w:val="nil"/>
              <w:bottom w:val="nil"/>
              <w:right w:val="single" w:color="auto" w:sz="8" w:space="0"/>
            </w:tcBorders>
            <w:noWrap w:val="0"/>
            <w:vAlign w:val="center"/>
          </w:tcPr>
          <w:p w14:paraId="2A1C98F5">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通讯器材类</w:t>
            </w:r>
          </w:p>
        </w:tc>
        <w:tc>
          <w:tcPr>
            <w:tcW w:w="2625" w:type="dxa"/>
            <w:tcBorders>
              <w:top w:val="nil"/>
              <w:left w:val="single" w:color="auto" w:sz="8" w:space="0"/>
              <w:bottom w:val="nil"/>
              <w:right w:val="single" w:color="auto" w:sz="8" w:space="0"/>
            </w:tcBorders>
            <w:noWrap w:val="0"/>
            <w:vAlign w:val="center"/>
          </w:tcPr>
          <w:p w14:paraId="0C057AB2">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p>
        </w:tc>
        <w:tc>
          <w:tcPr>
            <w:tcW w:w="2329" w:type="dxa"/>
            <w:tcBorders>
              <w:top w:val="nil"/>
              <w:left w:val="single" w:color="auto" w:sz="8" w:space="0"/>
              <w:bottom w:val="nil"/>
            </w:tcBorders>
            <w:noWrap w:val="0"/>
            <w:vAlign w:val="center"/>
          </w:tcPr>
          <w:p w14:paraId="4F304CB7">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p>
        </w:tc>
      </w:tr>
      <w:tr w14:paraId="629A967C">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85" w:hRule="atLeast"/>
        </w:trPr>
        <w:tc>
          <w:tcPr>
            <w:tcW w:w="3586" w:type="dxa"/>
            <w:tcBorders>
              <w:top w:val="nil"/>
              <w:bottom w:val="nil"/>
              <w:right w:val="single" w:color="auto" w:sz="8" w:space="0"/>
            </w:tcBorders>
            <w:noWrap w:val="0"/>
            <w:vAlign w:val="center"/>
          </w:tcPr>
          <w:p w14:paraId="7C9EC6E6">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粮油、食品类</w:t>
            </w:r>
          </w:p>
        </w:tc>
        <w:tc>
          <w:tcPr>
            <w:tcW w:w="2625" w:type="dxa"/>
            <w:tcBorders>
              <w:top w:val="nil"/>
              <w:left w:val="single" w:color="auto" w:sz="8" w:space="0"/>
              <w:bottom w:val="nil"/>
              <w:right w:val="single" w:color="auto" w:sz="8" w:space="0"/>
            </w:tcBorders>
            <w:noWrap w:val="0"/>
            <w:vAlign w:val="center"/>
          </w:tcPr>
          <w:p w14:paraId="5C491BF7">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560</w:t>
            </w:r>
          </w:p>
        </w:tc>
        <w:tc>
          <w:tcPr>
            <w:tcW w:w="2329" w:type="dxa"/>
            <w:tcBorders>
              <w:top w:val="nil"/>
              <w:left w:val="single" w:color="auto" w:sz="8" w:space="0"/>
              <w:bottom w:val="nil"/>
            </w:tcBorders>
            <w:noWrap w:val="0"/>
            <w:vAlign w:val="center"/>
          </w:tcPr>
          <w:p w14:paraId="6BFAF7D8">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-18.9</w:t>
            </w:r>
          </w:p>
        </w:tc>
      </w:tr>
      <w:tr w14:paraId="1725D5B6">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616" w:hRule="atLeast"/>
        </w:trPr>
        <w:tc>
          <w:tcPr>
            <w:tcW w:w="3586" w:type="dxa"/>
            <w:tcBorders>
              <w:top w:val="nil"/>
              <w:bottom w:val="nil"/>
              <w:right w:val="single" w:color="auto" w:sz="8" w:space="0"/>
            </w:tcBorders>
            <w:noWrap w:val="0"/>
            <w:vAlign w:val="center"/>
          </w:tcPr>
          <w:p w14:paraId="6BD48A43">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服装、鞋帽、针纺织品类</w:t>
            </w:r>
          </w:p>
        </w:tc>
        <w:tc>
          <w:tcPr>
            <w:tcW w:w="2625" w:type="dxa"/>
            <w:tcBorders>
              <w:top w:val="nil"/>
              <w:left w:val="single" w:color="auto" w:sz="8" w:space="0"/>
              <w:bottom w:val="nil"/>
              <w:right w:val="single" w:color="auto" w:sz="8" w:space="0"/>
            </w:tcBorders>
            <w:noWrap w:val="0"/>
            <w:vAlign w:val="center"/>
          </w:tcPr>
          <w:p w14:paraId="72630D6E">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4437</w:t>
            </w:r>
          </w:p>
        </w:tc>
        <w:tc>
          <w:tcPr>
            <w:tcW w:w="2329" w:type="dxa"/>
            <w:tcBorders>
              <w:top w:val="nil"/>
              <w:left w:val="single" w:color="auto" w:sz="8" w:space="0"/>
              <w:bottom w:val="nil"/>
            </w:tcBorders>
            <w:noWrap w:val="0"/>
            <w:vAlign w:val="center"/>
          </w:tcPr>
          <w:p w14:paraId="51157B52">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10</w:t>
            </w:r>
          </w:p>
        </w:tc>
      </w:tr>
      <w:tr w14:paraId="799BF168">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616" w:hRule="atLeast"/>
        </w:trPr>
        <w:tc>
          <w:tcPr>
            <w:tcW w:w="3586" w:type="dxa"/>
            <w:tcBorders>
              <w:top w:val="nil"/>
              <w:bottom w:val="nil"/>
              <w:right w:val="single" w:color="auto" w:sz="8" w:space="0"/>
            </w:tcBorders>
            <w:noWrap w:val="0"/>
            <w:vAlign w:val="center"/>
          </w:tcPr>
          <w:p w14:paraId="2B5B28E9">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化妆品类</w:t>
            </w:r>
          </w:p>
        </w:tc>
        <w:tc>
          <w:tcPr>
            <w:tcW w:w="2625" w:type="dxa"/>
            <w:tcBorders>
              <w:top w:val="nil"/>
              <w:left w:val="single" w:color="auto" w:sz="8" w:space="0"/>
              <w:bottom w:val="nil"/>
              <w:right w:val="single" w:color="auto" w:sz="8" w:space="0"/>
            </w:tcBorders>
            <w:noWrap w:val="0"/>
            <w:vAlign w:val="center"/>
          </w:tcPr>
          <w:p w14:paraId="1D587255">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562</w:t>
            </w:r>
          </w:p>
        </w:tc>
        <w:tc>
          <w:tcPr>
            <w:tcW w:w="2329" w:type="dxa"/>
            <w:tcBorders>
              <w:top w:val="nil"/>
              <w:left w:val="single" w:color="auto" w:sz="8" w:space="0"/>
              <w:bottom w:val="nil"/>
            </w:tcBorders>
            <w:noWrap w:val="0"/>
            <w:vAlign w:val="center"/>
          </w:tcPr>
          <w:p w14:paraId="73B0837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-8</w:t>
            </w:r>
          </w:p>
        </w:tc>
      </w:tr>
      <w:tr w14:paraId="4D5DE928">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616" w:hRule="atLeast"/>
        </w:trPr>
        <w:tc>
          <w:tcPr>
            <w:tcW w:w="3586" w:type="dxa"/>
            <w:tcBorders>
              <w:top w:val="nil"/>
              <w:bottom w:val="single" w:color="auto" w:sz="12" w:space="0"/>
              <w:right w:val="single" w:color="auto" w:sz="8" w:space="0"/>
            </w:tcBorders>
            <w:noWrap w:val="0"/>
            <w:vAlign w:val="center"/>
          </w:tcPr>
          <w:p w14:paraId="76C3E4F4">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　烟酒类</w:t>
            </w:r>
          </w:p>
        </w:tc>
        <w:tc>
          <w:tcPr>
            <w:tcW w:w="2625" w:type="dxa"/>
            <w:tcBorders>
              <w:top w:val="nil"/>
              <w:left w:val="single" w:color="auto" w:sz="8" w:space="0"/>
              <w:bottom w:val="single" w:color="auto" w:sz="12" w:space="0"/>
              <w:right w:val="single" w:color="auto" w:sz="8" w:space="0"/>
            </w:tcBorders>
            <w:noWrap w:val="0"/>
            <w:vAlign w:val="center"/>
          </w:tcPr>
          <w:p w14:paraId="1673AF95">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1515</w:t>
            </w:r>
          </w:p>
        </w:tc>
        <w:tc>
          <w:tcPr>
            <w:tcW w:w="2329" w:type="dxa"/>
            <w:tcBorders>
              <w:top w:val="nil"/>
              <w:left w:val="single" w:color="auto" w:sz="8" w:space="0"/>
              <w:bottom w:val="single" w:color="auto" w:sz="12" w:space="0"/>
            </w:tcBorders>
            <w:noWrap w:val="0"/>
            <w:vAlign w:val="center"/>
          </w:tcPr>
          <w:p w14:paraId="46C2E0A0">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w:t>
            </w:r>
          </w:p>
        </w:tc>
      </w:tr>
    </w:tbl>
    <w:p w14:paraId="709E0C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lang w:eastAsia="zh-CN"/>
        </w:rPr>
        <w:t>七</w:t>
      </w:r>
      <w:r>
        <w:rPr>
          <w:rFonts w:hint="eastAsia" w:asciiTheme="minorEastAsia" w:hAnsiTheme="minorEastAsia" w:eastAsiaTheme="minorEastAsia" w:cstheme="minorEastAsia"/>
          <w:b/>
          <w:bCs/>
          <w:color w:val="333333"/>
          <w:sz w:val="24"/>
          <w:szCs w:val="24"/>
          <w:shd w:val="clear" w:fill="FFFFFF"/>
        </w:rPr>
        <w:t>、交通、邮电和旅游</w:t>
      </w:r>
    </w:p>
    <w:p w14:paraId="0DF21B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年末全</w:t>
      </w:r>
      <w:r>
        <w:rPr>
          <w:rFonts w:hint="eastAsia" w:asciiTheme="minorEastAsia" w:hAnsiTheme="minorEastAsia" w:eastAsiaTheme="minorEastAsia" w:cstheme="minorEastAsia"/>
          <w:color w:val="333333"/>
          <w:sz w:val="24"/>
          <w:szCs w:val="24"/>
          <w:shd w:val="clear" w:fill="FFFFFF"/>
          <w:lang w:eastAsia="zh-CN"/>
        </w:rPr>
        <w:t>县</w:t>
      </w:r>
      <w:r>
        <w:rPr>
          <w:rFonts w:hint="eastAsia" w:asciiTheme="minorEastAsia" w:hAnsiTheme="minorEastAsia" w:eastAsiaTheme="minorEastAsia" w:cstheme="minorEastAsia"/>
          <w:color w:val="333333"/>
          <w:sz w:val="24"/>
          <w:szCs w:val="24"/>
          <w:shd w:val="clear" w:fill="FFFFFF"/>
        </w:rPr>
        <w:t>公路线路里程</w:t>
      </w:r>
      <w:r>
        <w:rPr>
          <w:rFonts w:hint="eastAsia" w:asciiTheme="minorEastAsia" w:hAnsiTheme="minorEastAsia" w:eastAsiaTheme="minorEastAsia" w:cstheme="minorEastAsia"/>
          <w:color w:val="333333"/>
          <w:sz w:val="24"/>
          <w:szCs w:val="24"/>
          <w:shd w:val="clear" w:fill="FFFFFF"/>
          <w:lang w:val="en-US" w:eastAsia="zh-CN"/>
        </w:rPr>
        <w:t>1575.96</w:t>
      </w:r>
      <w:r>
        <w:rPr>
          <w:rFonts w:hint="eastAsia" w:asciiTheme="minorEastAsia" w:hAnsiTheme="minorEastAsia" w:eastAsiaTheme="minorEastAsia" w:cstheme="minorEastAsia"/>
          <w:color w:val="333333"/>
          <w:sz w:val="24"/>
          <w:szCs w:val="24"/>
          <w:shd w:val="clear" w:fill="FFFFFF"/>
        </w:rPr>
        <w:t>公里，其中高速公路</w:t>
      </w:r>
      <w:r>
        <w:rPr>
          <w:rFonts w:hint="eastAsia" w:asciiTheme="minorEastAsia" w:hAnsiTheme="minorEastAsia" w:eastAsiaTheme="minorEastAsia" w:cstheme="minorEastAsia"/>
          <w:color w:val="333333"/>
          <w:sz w:val="24"/>
          <w:szCs w:val="24"/>
          <w:shd w:val="clear" w:fill="FFFFFF"/>
          <w:lang w:val="en-US" w:eastAsia="zh-CN"/>
        </w:rPr>
        <w:t>41.7</w:t>
      </w:r>
      <w:r>
        <w:rPr>
          <w:rFonts w:hint="eastAsia" w:asciiTheme="minorEastAsia" w:hAnsiTheme="minorEastAsia" w:eastAsiaTheme="minorEastAsia" w:cstheme="minorEastAsia"/>
          <w:color w:val="333333"/>
          <w:sz w:val="24"/>
          <w:szCs w:val="24"/>
          <w:shd w:val="clear" w:fill="FFFFFF"/>
        </w:rPr>
        <w:t xml:space="preserve">公里，与上年末持平。 </w:t>
      </w:r>
    </w:p>
    <w:p w14:paraId="35CFB7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333333"/>
          <w:sz w:val="24"/>
          <w:szCs w:val="24"/>
          <w:shd w:val="clear" w:fill="FFFFFF"/>
        </w:rPr>
      </w:pPr>
      <w:r>
        <w:rPr>
          <w:rFonts w:hint="eastAsia" w:asciiTheme="minorEastAsia" w:hAnsiTheme="minorEastAsia" w:eastAsiaTheme="minorEastAsia" w:cstheme="minorEastAsia"/>
          <w:color w:val="333333"/>
          <w:sz w:val="24"/>
          <w:szCs w:val="24"/>
          <w:shd w:val="clear" w:fill="FFFFFF"/>
        </w:rPr>
        <w:t>年末全县大型汽车保有量</w:t>
      </w:r>
      <w:r>
        <w:rPr>
          <w:rFonts w:hint="eastAsia" w:asciiTheme="minorEastAsia" w:hAnsiTheme="minorEastAsia" w:eastAsiaTheme="minorEastAsia" w:cstheme="minorEastAsia"/>
          <w:color w:val="333333"/>
          <w:sz w:val="24"/>
          <w:szCs w:val="24"/>
          <w:shd w:val="clear" w:fill="FFFFFF"/>
          <w:lang w:val="en-US" w:eastAsia="zh-CN"/>
        </w:rPr>
        <w:t>14170</w:t>
      </w:r>
      <w:r>
        <w:rPr>
          <w:rFonts w:hint="eastAsia" w:asciiTheme="minorEastAsia" w:hAnsiTheme="minorEastAsia" w:eastAsiaTheme="minorEastAsia" w:cstheme="minorEastAsia"/>
          <w:color w:val="333333"/>
          <w:sz w:val="24"/>
          <w:szCs w:val="24"/>
          <w:shd w:val="clear" w:fill="FFFFFF"/>
        </w:rPr>
        <w:t>辆；小型汽车保有量</w:t>
      </w:r>
      <w:r>
        <w:rPr>
          <w:rFonts w:hint="eastAsia" w:asciiTheme="minorEastAsia" w:hAnsiTheme="minorEastAsia" w:eastAsiaTheme="minorEastAsia" w:cstheme="minorEastAsia"/>
          <w:color w:val="333333"/>
          <w:sz w:val="24"/>
          <w:szCs w:val="24"/>
          <w:shd w:val="clear" w:fill="FFFFFF"/>
          <w:lang w:val="en-US" w:eastAsia="zh-CN"/>
        </w:rPr>
        <w:t>75905</w:t>
      </w:r>
      <w:r>
        <w:rPr>
          <w:rFonts w:hint="eastAsia" w:asciiTheme="minorEastAsia" w:hAnsiTheme="minorEastAsia" w:eastAsiaTheme="minorEastAsia" w:cstheme="minorEastAsia"/>
          <w:color w:val="333333"/>
          <w:sz w:val="24"/>
          <w:szCs w:val="24"/>
          <w:shd w:val="clear" w:fill="FFFFFF"/>
        </w:rPr>
        <w:t>辆，挂车</w:t>
      </w:r>
      <w:r>
        <w:rPr>
          <w:rFonts w:hint="eastAsia" w:asciiTheme="minorEastAsia" w:hAnsiTheme="minorEastAsia" w:eastAsiaTheme="minorEastAsia" w:cstheme="minorEastAsia"/>
          <w:color w:val="333333"/>
          <w:sz w:val="24"/>
          <w:szCs w:val="24"/>
          <w:shd w:val="clear" w:fill="FFFFFF"/>
          <w:lang w:val="en-US" w:eastAsia="zh-CN"/>
        </w:rPr>
        <w:t>2423</w:t>
      </w:r>
      <w:r>
        <w:rPr>
          <w:rFonts w:hint="eastAsia" w:asciiTheme="minorEastAsia" w:hAnsiTheme="minorEastAsia" w:eastAsiaTheme="minorEastAsia" w:cstheme="minorEastAsia"/>
          <w:color w:val="333333"/>
          <w:sz w:val="24"/>
          <w:szCs w:val="24"/>
          <w:shd w:val="clear" w:fill="FFFFFF"/>
        </w:rPr>
        <w:t>辆；摩托车、低速货车</w:t>
      </w:r>
      <w:r>
        <w:rPr>
          <w:rFonts w:hint="eastAsia" w:asciiTheme="minorEastAsia" w:hAnsiTheme="minorEastAsia" w:eastAsiaTheme="minorEastAsia" w:cstheme="minorEastAsia"/>
          <w:color w:val="333333"/>
          <w:sz w:val="24"/>
          <w:szCs w:val="24"/>
          <w:shd w:val="clear" w:fill="FFFFFF"/>
          <w:lang w:val="en-US" w:eastAsia="zh-CN"/>
        </w:rPr>
        <w:t>17633</w:t>
      </w:r>
      <w:r>
        <w:rPr>
          <w:rFonts w:hint="eastAsia" w:asciiTheme="minorEastAsia" w:hAnsiTheme="minorEastAsia" w:eastAsiaTheme="minorEastAsia" w:cstheme="minorEastAsia"/>
          <w:color w:val="333333"/>
          <w:sz w:val="24"/>
          <w:szCs w:val="24"/>
          <w:shd w:val="clear" w:fill="FFFFFF"/>
        </w:rPr>
        <w:t>辆。</w:t>
      </w:r>
    </w:p>
    <w:p w14:paraId="40A9579E">
      <w:pPr>
        <w:keepNext w:val="0"/>
        <w:keepLines w:val="0"/>
        <w:pageBreakBefore w:val="0"/>
        <w:widowControl/>
        <w:kinsoku/>
        <w:wordWrap/>
        <w:overflowPunct/>
        <w:topLinePunct w:val="0"/>
        <w:autoSpaceDE/>
        <w:autoSpaceDN/>
        <w:bidi w:val="0"/>
        <w:adjustRightInd/>
        <w:snapToGrid/>
        <w:spacing w:before="95" w:beforeLines="30" w:after="95" w:afterLines="30"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表</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 xml:space="preserve">10 </w:t>
      </w:r>
      <w:r>
        <w:rPr>
          <w:rFonts w:hint="eastAsia" w:asciiTheme="minorEastAsia" w:hAnsiTheme="minorEastAsia" w:eastAsiaTheme="minorEastAsia" w:cstheme="minorEastAsia"/>
          <w:b/>
          <w:bCs/>
          <w:color w:val="333333"/>
          <w:kern w:val="0"/>
          <w:sz w:val="24"/>
          <w:szCs w:val="24"/>
          <w:shd w:val="clear" w:color="auto" w:fill="FFFFFF"/>
          <w:lang w:bidi="ar"/>
        </w:rPr>
        <w:t>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 xml:space="preserve">年末民用汽车保有量及其增长速度 </w:t>
      </w:r>
    </w:p>
    <w:tbl>
      <w:tblPr>
        <w:tblStyle w:val="6"/>
        <w:tblW w:w="4999" w:type="pct"/>
        <w:tblInd w:w="0" w:type="dxa"/>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Layout w:type="autofit"/>
        <w:tblCellMar>
          <w:top w:w="0" w:type="dxa"/>
          <w:left w:w="108" w:type="dxa"/>
          <w:bottom w:w="0" w:type="dxa"/>
          <w:right w:w="108" w:type="dxa"/>
        </w:tblCellMar>
      </w:tblPr>
      <w:tblGrid>
        <w:gridCol w:w="2838"/>
        <w:gridCol w:w="2841"/>
        <w:gridCol w:w="2841"/>
      </w:tblGrid>
      <w:tr w14:paraId="77D11E5E">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PrEx>
        <w:trPr>
          <w:trHeight w:val="510" w:hRule="exact"/>
        </w:trPr>
        <w:tc>
          <w:tcPr>
            <w:tcW w:w="1665" w:type="pct"/>
            <w:tcBorders>
              <w:top w:val="single" w:color="auto" w:sz="12" w:space="0"/>
              <w:bottom w:val="single" w:color="auto" w:sz="8" w:space="0"/>
              <w:right w:val="single" w:color="auto" w:sz="8" w:space="0"/>
            </w:tcBorders>
            <w:noWrap w:val="0"/>
            <w:vAlign w:val="center"/>
          </w:tcPr>
          <w:p w14:paraId="670572C3">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指     标</w:t>
            </w:r>
          </w:p>
        </w:tc>
        <w:tc>
          <w:tcPr>
            <w:tcW w:w="1667" w:type="pct"/>
            <w:tcBorders>
              <w:top w:val="single" w:color="auto" w:sz="12" w:space="0"/>
              <w:left w:val="single" w:color="auto" w:sz="8" w:space="0"/>
              <w:bottom w:val="single" w:color="auto" w:sz="8" w:space="0"/>
            </w:tcBorders>
            <w:noWrap w:val="0"/>
            <w:vAlign w:val="center"/>
          </w:tcPr>
          <w:p w14:paraId="069C508D">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保有量（辆）</w:t>
            </w:r>
          </w:p>
        </w:tc>
        <w:tc>
          <w:tcPr>
            <w:tcW w:w="1667" w:type="pct"/>
            <w:tcBorders>
              <w:top w:val="single" w:color="auto" w:sz="12" w:space="0"/>
              <w:left w:val="single" w:color="auto" w:sz="8" w:space="0"/>
              <w:bottom w:val="single" w:color="auto" w:sz="8" w:space="0"/>
            </w:tcBorders>
            <w:noWrap w:val="0"/>
            <w:vAlign w:val="center"/>
          </w:tcPr>
          <w:p w14:paraId="782D92EC">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val="en-US" w:eastAsia="zh-CN" w:bidi="ar"/>
              </w:rPr>
            </w:pPr>
            <w:r>
              <w:rPr>
                <w:rFonts w:hint="eastAsia" w:asciiTheme="minorEastAsia" w:hAnsiTheme="minorEastAsia" w:eastAsiaTheme="minorEastAsia" w:cstheme="minorEastAsia"/>
                <w:b/>
                <w:bCs/>
                <w:color w:val="333333"/>
                <w:kern w:val="0"/>
                <w:sz w:val="24"/>
                <w:szCs w:val="24"/>
                <w:shd w:val="clear" w:color="auto" w:fill="FFFFFF"/>
                <w:lang w:val="en-US" w:eastAsia="zh-CN" w:bidi="ar"/>
              </w:rPr>
              <w:t>比上年增长（%）</w:t>
            </w:r>
          </w:p>
        </w:tc>
      </w:tr>
      <w:tr w14:paraId="0F5EA36A">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454" w:hRule="atLeast"/>
        </w:trPr>
        <w:tc>
          <w:tcPr>
            <w:tcW w:w="1665" w:type="pct"/>
            <w:tcBorders>
              <w:top w:val="single" w:color="auto" w:sz="8" w:space="0"/>
              <w:bottom w:val="nil"/>
              <w:right w:val="single" w:color="auto" w:sz="8" w:space="0"/>
            </w:tcBorders>
            <w:noWrap w:val="0"/>
            <w:vAlign w:val="center"/>
          </w:tcPr>
          <w:p w14:paraId="160CFBE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大型汽车</w:t>
            </w:r>
          </w:p>
        </w:tc>
        <w:tc>
          <w:tcPr>
            <w:tcW w:w="1667" w:type="pct"/>
            <w:tcBorders>
              <w:top w:val="single" w:color="auto" w:sz="8" w:space="0"/>
              <w:left w:val="single" w:color="auto" w:sz="8" w:space="0"/>
              <w:bottom w:val="nil"/>
            </w:tcBorders>
            <w:noWrap w:val="0"/>
            <w:vAlign w:val="center"/>
          </w:tcPr>
          <w:p w14:paraId="32389BAA">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14170</w:t>
            </w:r>
          </w:p>
        </w:tc>
        <w:tc>
          <w:tcPr>
            <w:tcW w:w="1667" w:type="pct"/>
            <w:tcBorders>
              <w:top w:val="single" w:color="auto" w:sz="8" w:space="0"/>
              <w:left w:val="single" w:color="auto" w:sz="8" w:space="0"/>
              <w:bottom w:val="nil"/>
            </w:tcBorders>
            <w:noWrap w:val="0"/>
            <w:vAlign w:val="center"/>
          </w:tcPr>
          <w:p w14:paraId="3BC5DB92">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70.3</w:t>
            </w:r>
          </w:p>
        </w:tc>
      </w:tr>
      <w:tr w14:paraId="0E966346">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454" w:hRule="atLeast"/>
        </w:trPr>
        <w:tc>
          <w:tcPr>
            <w:tcW w:w="1665" w:type="pct"/>
            <w:tcBorders>
              <w:top w:val="nil"/>
              <w:bottom w:val="nil"/>
              <w:right w:val="single" w:color="auto" w:sz="8" w:space="0"/>
            </w:tcBorders>
            <w:noWrap w:val="0"/>
            <w:vAlign w:val="center"/>
          </w:tcPr>
          <w:p w14:paraId="602BDCA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小型汽车</w:t>
            </w:r>
          </w:p>
        </w:tc>
        <w:tc>
          <w:tcPr>
            <w:tcW w:w="1667" w:type="pct"/>
            <w:tcBorders>
              <w:top w:val="nil"/>
              <w:left w:val="single" w:color="auto" w:sz="8" w:space="0"/>
              <w:bottom w:val="nil"/>
            </w:tcBorders>
            <w:noWrap w:val="0"/>
            <w:vAlign w:val="center"/>
          </w:tcPr>
          <w:p w14:paraId="56BEC9B0">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75905</w:t>
            </w:r>
          </w:p>
        </w:tc>
        <w:tc>
          <w:tcPr>
            <w:tcW w:w="1667" w:type="pct"/>
            <w:tcBorders>
              <w:top w:val="nil"/>
              <w:left w:val="single" w:color="auto" w:sz="8" w:space="0"/>
              <w:bottom w:val="nil"/>
            </w:tcBorders>
            <w:noWrap w:val="0"/>
            <w:vAlign w:val="center"/>
          </w:tcPr>
          <w:p w14:paraId="09A23F05">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36.1</w:t>
            </w:r>
          </w:p>
        </w:tc>
      </w:tr>
      <w:tr w14:paraId="56FCA4F3">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454" w:hRule="atLeast"/>
        </w:trPr>
        <w:tc>
          <w:tcPr>
            <w:tcW w:w="1665" w:type="pct"/>
            <w:tcBorders>
              <w:top w:val="nil"/>
              <w:bottom w:val="nil"/>
              <w:right w:val="single" w:color="auto" w:sz="8" w:space="0"/>
            </w:tcBorders>
            <w:noWrap w:val="0"/>
            <w:vAlign w:val="center"/>
          </w:tcPr>
          <w:p w14:paraId="2E17F0B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挂  车</w:t>
            </w:r>
          </w:p>
        </w:tc>
        <w:tc>
          <w:tcPr>
            <w:tcW w:w="1667" w:type="pct"/>
            <w:tcBorders>
              <w:top w:val="nil"/>
              <w:left w:val="single" w:color="auto" w:sz="8" w:space="0"/>
              <w:bottom w:val="nil"/>
            </w:tcBorders>
            <w:noWrap w:val="0"/>
            <w:vAlign w:val="center"/>
          </w:tcPr>
          <w:p w14:paraId="1D2827BC">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2423</w:t>
            </w:r>
          </w:p>
        </w:tc>
        <w:tc>
          <w:tcPr>
            <w:tcW w:w="1667" w:type="pct"/>
            <w:tcBorders>
              <w:top w:val="nil"/>
              <w:left w:val="single" w:color="auto" w:sz="8" w:space="0"/>
              <w:bottom w:val="nil"/>
            </w:tcBorders>
            <w:noWrap w:val="0"/>
            <w:vAlign w:val="center"/>
          </w:tcPr>
          <w:p w14:paraId="1DA13F82">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31.1</w:t>
            </w:r>
          </w:p>
        </w:tc>
      </w:tr>
      <w:tr w14:paraId="03936D9F">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454" w:hRule="atLeast"/>
        </w:trPr>
        <w:tc>
          <w:tcPr>
            <w:tcW w:w="1665" w:type="pct"/>
            <w:tcBorders>
              <w:top w:val="nil"/>
              <w:bottom w:val="single" w:color="auto" w:sz="12" w:space="0"/>
              <w:right w:val="single" w:color="auto" w:sz="8" w:space="0"/>
            </w:tcBorders>
            <w:noWrap w:val="0"/>
            <w:vAlign w:val="center"/>
          </w:tcPr>
          <w:p w14:paraId="20624BC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摩托车、低速货车</w:t>
            </w:r>
          </w:p>
        </w:tc>
        <w:tc>
          <w:tcPr>
            <w:tcW w:w="1667" w:type="pct"/>
            <w:tcBorders>
              <w:top w:val="nil"/>
              <w:left w:val="single" w:color="auto" w:sz="8" w:space="0"/>
              <w:bottom w:val="single" w:color="auto" w:sz="12" w:space="0"/>
            </w:tcBorders>
            <w:noWrap w:val="0"/>
            <w:vAlign w:val="center"/>
          </w:tcPr>
          <w:p w14:paraId="13CBD970">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17633</w:t>
            </w:r>
          </w:p>
        </w:tc>
        <w:tc>
          <w:tcPr>
            <w:tcW w:w="1667" w:type="pct"/>
            <w:tcBorders>
              <w:top w:val="nil"/>
              <w:left w:val="single" w:color="auto" w:sz="8" w:space="0"/>
              <w:bottom w:val="single" w:color="auto" w:sz="12" w:space="0"/>
            </w:tcBorders>
            <w:noWrap w:val="0"/>
            <w:vAlign w:val="center"/>
          </w:tcPr>
          <w:p w14:paraId="1D55BAE4">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-38.2</w:t>
            </w:r>
          </w:p>
        </w:tc>
      </w:tr>
    </w:tbl>
    <w:p w14:paraId="042F95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shd w:val="clear" w:fill="FFFFFF"/>
          <w:lang w:val="en-US" w:eastAsia="zh-CN"/>
        </w:rPr>
      </w:pPr>
      <w:r>
        <w:rPr>
          <w:rFonts w:hint="eastAsia" w:asciiTheme="minorEastAsia" w:hAnsiTheme="minorEastAsia" w:eastAsiaTheme="minorEastAsia" w:cstheme="minorEastAsia"/>
          <w:color w:val="auto"/>
          <w:sz w:val="24"/>
          <w:szCs w:val="24"/>
          <w:shd w:val="clear" w:fill="FFFFFF"/>
          <w:lang w:eastAsia="zh-CN"/>
        </w:rPr>
        <w:t>全年全县旅客运输量</w:t>
      </w:r>
      <w:r>
        <w:rPr>
          <w:rFonts w:hint="eastAsia" w:asciiTheme="minorEastAsia" w:hAnsiTheme="minorEastAsia" w:eastAsiaTheme="minorEastAsia" w:cstheme="minorEastAsia"/>
          <w:color w:val="auto"/>
          <w:sz w:val="24"/>
          <w:szCs w:val="24"/>
          <w:shd w:val="clear" w:fill="FFFFFF"/>
          <w:lang w:val="en-US" w:eastAsia="zh-CN"/>
        </w:rPr>
        <w:t xml:space="preserve"> 75.43万人，同比增长-13.7％，货物运输量2930.04万吨。</w:t>
      </w:r>
    </w:p>
    <w:p w14:paraId="474AA0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全年全</w:t>
      </w:r>
      <w:r>
        <w:rPr>
          <w:rFonts w:hint="eastAsia" w:asciiTheme="minorEastAsia" w:hAnsiTheme="minorEastAsia" w:eastAsiaTheme="minorEastAsia" w:cstheme="minorEastAsia"/>
          <w:color w:val="auto"/>
          <w:sz w:val="24"/>
          <w:szCs w:val="24"/>
          <w:shd w:val="clear" w:fill="FFFFFF"/>
          <w:lang w:val="en-US" w:eastAsia="zh-CN"/>
        </w:rPr>
        <w:t>县</w:t>
      </w:r>
      <w:r>
        <w:rPr>
          <w:rFonts w:hint="eastAsia" w:asciiTheme="minorEastAsia" w:hAnsiTheme="minorEastAsia" w:eastAsiaTheme="minorEastAsia" w:cstheme="minorEastAsia"/>
          <w:color w:val="auto"/>
          <w:sz w:val="24"/>
          <w:szCs w:val="24"/>
          <w:shd w:val="clear" w:fill="FFFFFF"/>
        </w:rPr>
        <w:t>邮政业务总量</w:t>
      </w:r>
      <w:r>
        <w:rPr>
          <w:rFonts w:hint="eastAsia" w:asciiTheme="minorEastAsia" w:hAnsiTheme="minorEastAsia" w:eastAsiaTheme="minorEastAsia" w:cstheme="minorEastAsia"/>
          <w:color w:val="auto"/>
          <w:sz w:val="24"/>
          <w:szCs w:val="24"/>
          <w:shd w:val="clear" w:fill="FFFFFF"/>
          <w:lang w:val="en-US" w:eastAsia="zh-CN"/>
        </w:rPr>
        <w:t>1498.17万</w:t>
      </w:r>
      <w:r>
        <w:rPr>
          <w:rFonts w:hint="eastAsia" w:asciiTheme="minorEastAsia" w:hAnsiTheme="minorEastAsia" w:eastAsiaTheme="minorEastAsia" w:cstheme="minorEastAsia"/>
          <w:color w:val="auto"/>
          <w:sz w:val="24"/>
          <w:szCs w:val="24"/>
          <w:shd w:val="clear" w:fill="FFFFFF"/>
        </w:rPr>
        <w:t>元，</w:t>
      </w:r>
      <w:r>
        <w:rPr>
          <w:rFonts w:hint="eastAsia" w:asciiTheme="minorEastAsia" w:hAnsiTheme="minorEastAsia" w:eastAsiaTheme="minorEastAsia" w:cstheme="minorEastAsia"/>
          <w:color w:val="auto"/>
          <w:sz w:val="24"/>
          <w:szCs w:val="24"/>
          <w:shd w:val="clear" w:fill="FFFFFF"/>
          <w:lang w:eastAsia="zh-CN"/>
        </w:rPr>
        <w:t>其中邮政业务完成</w:t>
      </w:r>
      <w:r>
        <w:rPr>
          <w:rFonts w:hint="eastAsia" w:asciiTheme="minorEastAsia" w:hAnsiTheme="minorEastAsia" w:eastAsiaTheme="minorEastAsia" w:cstheme="minorEastAsia"/>
          <w:color w:val="auto"/>
          <w:sz w:val="24"/>
          <w:szCs w:val="24"/>
          <w:shd w:val="clear" w:fill="FFFFFF"/>
          <w:lang w:val="en-US" w:eastAsia="zh-CN"/>
        </w:rPr>
        <w:t>838.98万元，</w:t>
      </w:r>
      <w:r>
        <w:rPr>
          <w:rFonts w:hint="eastAsia" w:asciiTheme="minorEastAsia" w:hAnsiTheme="minorEastAsia" w:eastAsiaTheme="minorEastAsia" w:cstheme="minorEastAsia"/>
          <w:color w:val="auto"/>
          <w:kern w:val="0"/>
          <w:sz w:val="24"/>
          <w:szCs w:val="24"/>
          <w:shd w:val="clear" w:fill="FFFFFF"/>
          <w:lang w:val="en-US" w:eastAsia="zh-CN" w:bidi="ar"/>
        </w:rPr>
        <w:t>快递服务企业业务收入累计完成659.19万元。</w:t>
      </w:r>
    </w:p>
    <w:p w14:paraId="74ECDA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shd w:val="clear" w:fill="FFFFFF"/>
        </w:rPr>
        <w:t>全年全</w:t>
      </w:r>
      <w:r>
        <w:rPr>
          <w:rFonts w:hint="eastAsia" w:asciiTheme="minorEastAsia" w:hAnsiTheme="minorEastAsia" w:eastAsiaTheme="minorEastAsia" w:cstheme="minorEastAsia"/>
          <w:b w:val="0"/>
          <w:bCs w:val="0"/>
          <w:color w:val="auto"/>
          <w:sz w:val="24"/>
          <w:szCs w:val="24"/>
          <w:shd w:val="clear" w:fill="FFFFFF"/>
          <w:lang w:val="en-US" w:eastAsia="zh-CN"/>
        </w:rPr>
        <w:t>县</w:t>
      </w:r>
      <w:r>
        <w:rPr>
          <w:rFonts w:hint="eastAsia" w:asciiTheme="minorEastAsia" w:hAnsiTheme="minorEastAsia" w:eastAsiaTheme="minorEastAsia" w:cstheme="minorEastAsia"/>
          <w:b w:val="0"/>
          <w:bCs w:val="0"/>
          <w:color w:val="auto"/>
          <w:sz w:val="24"/>
          <w:szCs w:val="24"/>
          <w:shd w:val="clear" w:fill="FFFFFF"/>
        </w:rPr>
        <w:t>接待入境旅游者</w:t>
      </w:r>
      <w:r>
        <w:rPr>
          <w:rFonts w:hint="eastAsia" w:asciiTheme="minorEastAsia" w:hAnsiTheme="minorEastAsia" w:eastAsiaTheme="minorEastAsia" w:cstheme="minorEastAsia"/>
          <w:b w:val="0"/>
          <w:bCs w:val="0"/>
          <w:color w:val="auto"/>
          <w:sz w:val="24"/>
          <w:szCs w:val="24"/>
          <w:shd w:val="clear" w:fill="FFFFFF"/>
          <w:lang w:val="en-US" w:eastAsia="zh-CN"/>
        </w:rPr>
        <w:t xml:space="preserve"> 703</w:t>
      </w:r>
      <w:r>
        <w:rPr>
          <w:rFonts w:hint="eastAsia" w:asciiTheme="minorEastAsia" w:hAnsiTheme="minorEastAsia" w:eastAsiaTheme="minorEastAsia" w:cstheme="minorEastAsia"/>
          <w:b w:val="0"/>
          <w:bCs w:val="0"/>
          <w:color w:val="auto"/>
          <w:sz w:val="24"/>
          <w:szCs w:val="24"/>
          <w:shd w:val="clear" w:fill="FFFFFF"/>
        </w:rPr>
        <w:t>人次，接待国内旅游者</w:t>
      </w:r>
      <w:r>
        <w:rPr>
          <w:rFonts w:hint="eastAsia" w:asciiTheme="minorEastAsia" w:hAnsiTheme="minorEastAsia" w:eastAsiaTheme="minorEastAsia" w:cstheme="minorEastAsia"/>
          <w:b w:val="0"/>
          <w:bCs w:val="0"/>
          <w:color w:val="auto"/>
          <w:sz w:val="24"/>
          <w:szCs w:val="24"/>
          <w:shd w:val="clear" w:fill="FFFFFF"/>
          <w:lang w:val="en-US" w:eastAsia="zh-CN"/>
        </w:rPr>
        <w:t>12247</w:t>
      </w:r>
      <w:r>
        <w:rPr>
          <w:rFonts w:hint="eastAsia" w:asciiTheme="minorEastAsia" w:hAnsiTheme="minorEastAsia" w:eastAsiaTheme="minorEastAsia" w:cstheme="minorEastAsia"/>
          <w:b w:val="0"/>
          <w:bCs w:val="0"/>
          <w:color w:val="auto"/>
          <w:sz w:val="24"/>
          <w:szCs w:val="24"/>
          <w:shd w:val="clear" w:fill="FFFFFF"/>
        </w:rPr>
        <w:t>人次，同比分别增</w:t>
      </w:r>
      <w:r>
        <w:rPr>
          <w:rFonts w:hint="eastAsia" w:asciiTheme="minorEastAsia" w:hAnsiTheme="minorEastAsia" w:eastAsiaTheme="minorEastAsia" w:cstheme="minorEastAsia"/>
          <w:b w:val="0"/>
          <w:bCs w:val="0"/>
          <w:color w:val="auto"/>
          <w:sz w:val="24"/>
          <w:szCs w:val="24"/>
          <w:shd w:val="clear" w:fill="FFFFFF"/>
          <w:lang w:eastAsia="zh-CN"/>
        </w:rPr>
        <w:t>长</w:t>
      </w:r>
      <w:r>
        <w:rPr>
          <w:rFonts w:hint="eastAsia" w:asciiTheme="minorEastAsia" w:hAnsiTheme="minorEastAsia" w:eastAsiaTheme="minorEastAsia" w:cstheme="minorEastAsia"/>
          <w:b w:val="0"/>
          <w:bCs w:val="0"/>
          <w:color w:val="auto"/>
          <w:sz w:val="24"/>
          <w:szCs w:val="24"/>
          <w:shd w:val="clear" w:fill="FFFFFF"/>
          <w:lang w:val="en-US" w:eastAsia="zh-CN"/>
        </w:rPr>
        <w:t>-3.03</w:t>
      </w:r>
      <w:r>
        <w:rPr>
          <w:rFonts w:hint="eastAsia" w:asciiTheme="minorEastAsia" w:hAnsiTheme="minorEastAsia" w:eastAsiaTheme="minorEastAsia" w:cstheme="minorEastAsia"/>
          <w:b w:val="0"/>
          <w:bCs w:val="0"/>
          <w:color w:val="auto"/>
          <w:sz w:val="24"/>
          <w:szCs w:val="24"/>
          <w:shd w:val="clear" w:fill="FFFFFF"/>
        </w:rPr>
        <w:t>和</w:t>
      </w:r>
      <w:r>
        <w:rPr>
          <w:rFonts w:hint="eastAsia" w:asciiTheme="minorEastAsia" w:hAnsiTheme="minorEastAsia" w:eastAsiaTheme="minorEastAsia" w:cstheme="minorEastAsia"/>
          <w:b w:val="0"/>
          <w:bCs w:val="0"/>
          <w:color w:val="auto"/>
          <w:sz w:val="24"/>
          <w:szCs w:val="24"/>
          <w:shd w:val="clear" w:fill="FFFFFF"/>
          <w:lang w:val="en-US" w:eastAsia="zh-CN"/>
        </w:rPr>
        <w:t>14.14</w:t>
      </w:r>
      <w:r>
        <w:rPr>
          <w:rFonts w:hint="eastAsia" w:asciiTheme="minorEastAsia" w:hAnsiTheme="minorEastAsia" w:eastAsiaTheme="minorEastAsia" w:cstheme="minorEastAsia"/>
          <w:b w:val="0"/>
          <w:bCs w:val="0"/>
          <w:color w:val="auto"/>
          <w:sz w:val="24"/>
          <w:szCs w:val="24"/>
          <w:shd w:val="clear" w:fill="FFFFFF"/>
        </w:rPr>
        <w:t>%；旅游外汇收入</w:t>
      </w:r>
      <w:r>
        <w:rPr>
          <w:rFonts w:hint="eastAsia" w:asciiTheme="minorEastAsia" w:hAnsiTheme="minorEastAsia" w:eastAsiaTheme="minorEastAsia" w:cstheme="minorEastAsia"/>
          <w:b w:val="0"/>
          <w:bCs w:val="0"/>
          <w:color w:val="auto"/>
          <w:sz w:val="24"/>
          <w:szCs w:val="24"/>
          <w:shd w:val="clear" w:fill="FFFFFF"/>
          <w:lang w:val="en-US" w:eastAsia="zh-CN"/>
        </w:rPr>
        <w:t>0.33</w:t>
      </w:r>
      <w:r>
        <w:rPr>
          <w:rFonts w:hint="eastAsia" w:asciiTheme="minorEastAsia" w:hAnsiTheme="minorEastAsia" w:eastAsiaTheme="minorEastAsia" w:cstheme="minorEastAsia"/>
          <w:b w:val="0"/>
          <w:bCs w:val="0"/>
          <w:color w:val="auto"/>
          <w:sz w:val="24"/>
          <w:szCs w:val="24"/>
          <w:shd w:val="clear" w:fill="FFFFFF"/>
        </w:rPr>
        <w:t>万美元</w:t>
      </w:r>
      <w:r>
        <w:rPr>
          <w:rFonts w:hint="eastAsia" w:asciiTheme="minorEastAsia" w:hAnsiTheme="minorEastAsia" w:eastAsiaTheme="minorEastAsia" w:cstheme="minorEastAsia"/>
          <w:b w:val="0"/>
          <w:bCs w:val="0"/>
          <w:color w:val="auto"/>
          <w:sz w:val="24"/>
          <w:szCs w:val="24"/>
          <w:shd w:val="clear" w:fill="FFFFFF"/>
          <w:lang w:eastAsia="zh-CN"/>
        </w:rPr>
        <w:t>；</w:t>
      </w:r>
      <w:r>
        <w:rPr>
          <w:rFonts w:hint="eastAsia" w:asciiTheme="minorEastAsia" w:hAnsiTheme="minorEastAsia" w:eastAsiaTheme="minorEastAsia" w:cstheme="minorEastAsia"/>
          <w:b w:val="0"/>
          <w:bCs w:val="0"/>
          <w:color w:val="auto"/>
          <w:sz w:val="24"/>
          <w:szCs w:val="24"/>
          <w:shd w:val="clear" w:fill="FFFFFF"/>
        </w:rPr>
        <w:t>国内旅游收入</w:t>
      </w:r>
      <w:r>
        <w:rPr>
          <w:rFonts w:hint="eastAsia" w:asciiTheme="minorEastAsia" w:hAnsiTheme="minorEastAsia" w:eastAsiaTheme="minorEastAsia" w:cstheme="minorEastAsia"/>
          <w:b w:val="0"/>
          <w:bCs w:val="0"/>
          <w:color w:val="auto"/>
          <w:sz w:val="24"/>
          <w:szCs w:val="24"/>
          <w:shd w:val="clear" w:fill="FFFFFF"/>
          <w:lang w:val="en-US" w:eastAsia="zh-CN"/>
        </w:rPr>
        <w:t>84.86万</w:t>
      </w:r>
      <w:r>
        <w:rPr>
          <w:rFonts w:hint="eastAsia" w:asciiTheme="minorEastAsia" w:hAnsiTheme="minorEastAsia" w:eastAsiaTheme="minorEastAsia" w:cstheme="minorEastAsia"/>
          <w:b w:val="0"/>
          <w:bCs w:val="0"/>
          <w:color w:val="auto"/>
          <w:sz w:val="24"/>
          <w:szCs w:val="24"/>
          <w:shd w:val="clear" w:fill="FFFFFF"/>
        </w:rPr>
        <w:t>元，同比增长</w:t>
      </w:r>
      <w:r>
        <w:rPr>
          <w:rFonts w:hint="eastAsia" w:asciiTheme="minorEastAsia" w:hAnsiTheme="minorEastAsia" w:eastAsiaTheme="minorEastAsia" w:cstheme="minorEastAsia"/>
          <w:b w:val="0"/>
          <w:bCs w:val="0"/>
          <w:color w:val="auto"/>
          <w:sz w:val="24"/>
          <w:szCs w:val="24"/>
          <w:shd w:val="clear" w:fill="FFFFFF"/>
          <w:lang w:val="en-US" w:eastAsia="zh-CN"/>
        </w:rPr>
        <w:t xml:space="preserve">19.47 </w:t>
      </w:r>
      <w:r>
        <w:rPr>
          <w:rFonts w:hint="eastAsia" w:asciiTheme="minorEastAsia" w:hAnsiTheme="minorEastAsia" w:eastAsiaTheme="minorEastAsia" w:cstheme="minorEastAsia"/>
          <w:b w:val="0"/>
          <w:bCs w:val="0"/>
          <w:color w:val="auto"/>
          <w:sz w:val="24"/>
          <w:szCs w:val="24"/>
          <w:shd w:val="clear" w:fill="FFFFFF"/>
        </w:rPr>
        <w:t>%；旅游总收入</w:t>
      </w:r>
      <w:r>
        <w:rPr>
          <w:rFonts w:hint="eastAsia" w:asciiTheme="minorEastAsia" w:hAnsiTheme="minorEastAsia" w:eastAsiaTheme="minorEastAsia" w:cstheme="minorEastAsia"/>
          <w:b w:val="0"/>
          <w:bCs w:val="0"/>
          <w:color w:val="auto"/>
          <w:sz w:val="24"/>
          <w:szCs w:val="24"/>
          <w:shd w:val="clear" w:fill="FFFFFF"/>
          <w:lang w:val="en-US" w:eastAsia="zh-CN"/>
        </w:rPr>
        <w:t>86.82万</w:t>
      </w:r>
      <w:r>
        <w:rPr>
          <w:rFonts w:hint="eastAsia" w:asciiTheme="minorEastAsia" w:hAnsiTheme="minorEastAsia" w:eastAsiaTheme="minorEastAsia" w:cstheme="minorEastAsia"/>
          <w:b w:val="0"/>
          <w:bCs w:val="0"/>
          <w:color w:val="auto"/>
          <w:sz w:val="24"/>
          <w:szCs w:val="24"/>
          <w:shd w:val="clear" w:fill="FFFFFF"/>
        </w:rPr>
        <w:t>元，同比增长</w:t>
      </w:r>
      <w:r>
        <w:rPr>
          <w:rFonts w:hint="eastAsia" w:asciiTheme="minorEastAsia" w:hAnsiTheme="minorEastAsia" w:eastAsiaTheme="minorEastAsia" w:cstheme="minorEastAsia"/>
          <w:b w:val="0"/>
          <w:bCs w:val="0"/>
          <w:color w:val="auto"/>
          <w:sz w:val="24"/>
          <w:szCs w:val="24"/>
          <w:shd w:val="clear" w:fill="FFFFFF"/>
          <w:lang w:val="en-US" w:eastAsia="zh-CN"/>
        </w:rPr>
        <w:t>22.22</w:t>
      </w:r>
      <w:r>
        <w:rPr>
          <w:rFonts w:hint="eastAsia" w:asciiTheme="minorEastAsia" w:hAnsiTheme="minorEastAsia" w:eastAsiaTheme="minorEastAsia" w:cstheme="minorEastAsia"/>
          <w:b w:val="0"/>
          <w:bCs w:val="0"/>
          <w:color w:val="auto"/>
          <w:sz w:val="24"/>
          <w:szCs w:val="24"/>
          <w:shd w:val="clear" w:fill="FFFFFF"/>
        </w:rPr>
        <w:t>%。</w:t>
      </w:r>
    </w:p>
    <w:p w14:paraId="2EAA2C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333333"/>
          <w:sz w:val="24"/>
          <w:szCs w:val="24"/>
          <w:shd w:val="clear" w:fill="FFFFFF"/>
          <w:lang w:eastAsia="zh-CN"/>
        </w:rPr>
        <w:t>八</w:t>
      </w:r>
      <w:r>
        <w:rPr>
          <w:rFonts w:hint="eastAsia" w:asciiTheme="minorEastAsia" w:hAnsiTheme="minorEastAsia" w:eastAsiaTheme="minorEastAsia" w:cstheme="minorEastAsia"/>
          <w:b/>
          <w:bCs/>
          <w:color w:val="333333"/>
          <w:sz w:val="24"/>
          <w:szCs w:val="24"/>
          <w:shd w:val="clear" w:fill="FFFFFF"/>
        </w:rPr>
        <w:t>、金融、保险</w:t>
      </w:r>
      <w:r>
        <w:rPr>
          <w:rFonts w:hint="eastAsia" w:asciiTheme="minorEastAsia" w:hAnsiTheme="minorEastAsia" w:eastAsiaTheme="minorEastAsia" w:cstheme="minorEastAsia"/>
          <w:color w:val="333333"/>
          <w:sz w:val="24"/>
          <w:szCs w:val="24"/>
          <w:shd w:val="clear" w:fill="FFFFFF"/>
        </w:rPr>
        <w:t xml:space="preserve"> </w:t>
      </w:r>
    </w:p>
    <w:p w14:paraId="286F86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年末全</w:t>
      </w:r>
      <w:r>
        <w:rPr>
          <w:rFonts w:hint="eastAsia" w:asciiTheme="minorEastAsia" w:hAnsiTheme="minorEastAsia" w:eastAsiaTheme="minorEastAsia" w:cstheme="minorEastAsia"/>
          <w:color w:val="333333"/>
          <w:sz w:val="24"/>
          <w:szCs w:val="24"/>
          <w:shd w:val="clear" w:fill="FFFFFF"/>
          <w:lang w:eastAsia="zh-CN"/>
        </w:rPr>
        <w:t>县</w:t>
      </w:r>
      <w:r>
        <w:rPr>
          <w:rFonts w:hint="eastAsia" w:asciiTheme="minorEastAsia" w:hAnsiTheme="minorEastAsia" w:eastAsiaTheme="minorEastAsia" w:cstheme="minorEastAsia"/>
          <w:color w:val="333333"/>
          <w:sz w:val="24"/>
          <w:szCs w:val="24"/>
          <w:shd w:val="clear" w:fill="FFFFFF"/>
        </w:rPr>
        <w:t>金融机构本外币各项存款余额</w:t>
      </w:r>
      <w:r>
        <w:rPr>
          <w:rFonts w:hint="eastAsia" w:asciiTheme="minorEastAsia" w:hAnsiTheme="minorEastAsia" w:eastAsiaTheme="minorEastAsia" w:cstheme="minorEastAsia"/>
          <w:color w:val="333333"/>
          <w:sz w:val="24"/>
          <w:szCs w:val="24"/>
          <w:shd w:val="clear" w:fill="FFFFFF"/>
          <w:lang w:val="en-US" w:eastAsia="zh-CN"/>
        </w:rPr>
        <w:t>2095879万</w:t>
      </w:r>
      <w:r>
        <w:rPr>
          <w:rFonts w:hint="eastAsia" w:asciiTheme="minorEastAsia" w:hAnsiTheme="minorEastAsia" w:eastAsiaTheme="minorEastAsia" w:cstheme="minorEastAsia"/>
          <w:color w:val="333333"/>
          <w:sz w:val="24"/>
          <w:szCs w:val="24"/>
          <w:shd w:val="clear" w:fill="FFFFFF"/>
        </w:rPr>
        <w:t>元，比年初增加</w:t>
      </w:r>
      <w:r>
        <w:rPr>
          <w:rFonts w:hint="eastAsia" w:asciiTheme="minorEastAsia" w:hAnsiTheme="minorEastAsia" w:eastAsiaTheme="minorEastAsia" w:cstheme="minorEastAsia"/>
          <w:color w:val="333333"/>
          <w:sz w:val="24"/>
          <w:szCs w:val="24"/>
          <w:shd w:val="clear" w:fill="FFFFFF"/>
          <w:lang w:val="en-US" w:eastAsia="zh-CN"/>
        </w:rPr>
        <w:t xml:space="preserve"> 224569万</w:t>
      </w:r>
      <w:r>
        <w:rPr>
          <w:rFonts w:hint="eastAsia" w:asciiTheme="minorEastAsia" w:hAnsiTheme="minorEastAsia" w:eastAsiaTheme="minorEastAsia" w:cstheme="minorEastAsia"/>
          <w:color w:val="333333"/>
          <w:sz w:val="24"/>
          <w:szCs w:val="24"/>
          <w:shd w:val="clear" w:fill="FFFFFF"/>
        </w:rPr>
        <w:t>元，比年初增长</w:t>
      </w:r>
      <w:r>
        <w:rPr>
          <w:rFonts w:hint="eastAsia" w:asciiTheme="minorEastAsia" w:hAnsiTheme="minorEastAsia" w:eastAsiaTheme="minorEastAsia" w:cstheme="minorEastAsia"/>
          <w:color w:val="333333"/>
          <w:sz w:val="24"/>
          <w:szCs w:val="24"/>
          <w:shd w:val="clear" w:fill="FFFFFF"/>
          <w:lang w:val="en-US" w:eastAsia="zh-CN"/>
        </w:rPr>
        <w:t>12</w:t>
      </w:r>
      <w:r>
        <w:rPr>
          <w:rFonts w:hint="eastAsia" w:asciiTheme="minorEastAsia" w:hAnsiTheme="minorEastAsia" w:eastAsiaTheme="minorEastAsia" w:cstheme="minorEastAsia"/>
          <w:color w:val="333333"/>
          <w:sz w:val="24"/>
          <w:szCs w:val="24"/>
          <w:shd w:val="clear" w:fill="FFFFFF"/>
        </w:rPr>
        <w:t>%。各项贷款余额</w:t>
      </w:r>
      <w:r>
        <w:rPr>
          <w:rFonts w:hint="eastAsia" w:asciiTheme="minorEastAsia" w:hAnsiTheme="minorEastAsia" w:eastAsiaTheme="minorEastAsia" w:cstheme="minorEastAsia"/>
          <w:color w:val="333333"/>
          <w:sz w:val="24"/>
          <w:szCs w:val="24"/>
          <w:shd w:val="clear" w:fill="FFFFFF"/>
          <w:lang w:val="en-US" w:eastAsia="zh-CN"/>
        </w:rPr>
        <w:t>732745万</w:t>
      </w:r>
      <w:r>
        <w:rPr>
          <w:rFonts w:hint="eastAsia" w:asciiTheme="minorEastAsia" w:hAnsiTheme="minorEastAsia" w:eastAsiaTheme="minorEastAsia" w:cstheme="minorEastAsia"/>
          <w:color w:val="333333"/>
          <w:sz w:val="24"/>
          <w:szCs w:val="24"/>
          <w:shd w:val="clear" w:fill="FFFFFF"/>
        </w:rPr>
        <w:t>元，比年初</w:t>
      </w:r>
      <w:r>
        <w:rPr>
          <w:rFonts w:hint="eastAsia" w:asciiTheme="minorEastAsia" w:hAnsiTheme="minorEastAsia" w:eastAsiaTheme="minorEastAsia" w:cstheme="minorEastAsia"/>
          <w:color w:val="333333"/>
          <w:sz w:val="24"/>
          <w:szCs w:val="24"/>
          <w:shd w:val="clear" w:fill="FFFFFF"/>
          <w:lang w:eastAsia="zh-CN"/>
        </w:rPr>
        <w:t>减少</w:t>
      </w:r>
      <w:r>
        <w:rPr>
          <w:rFonts w:hint="eastAsia" w:asciiTheme="minorEastAsia" w:hAnsiTheme="minorEastAsia" w:eastAsiaTheme="minorEastAsia" w:cstheme="minorEastAsia"/>
          <w:color w:val="333333"/>
          <w:sz w:val="24"/>
          <w:szCs w:val="24"/>
          <w:shd w:val="clear" w:fill="FFFFFF"/>
          <w:lang w:val="en-US" w:eastAsia="zh-CN"/>
        </w:rPr>
        <w:t>68442万</w:t>
      </w:r>
      <w:r>
        <w:rPr>
          <w:rFonts w:hint="eastAsia" w:asciiTheme="minorEastAsia" w:hAnsiTheme="minorEastAsia" w:eastAsiaTheme="minorEastAsia" w:cstheme="minorEastAsia"/>
          <w:color w:val="333333"/>
          <w:sz w:val="24"/>
          <w:szCs w:val="24"/>
          <w:shd w:val="clear" w:fill="FFFFFF"/>
        </w:rPr>
        <w:t>元，比年初</w:t>
      </w:r>
      <w:r>
        <w:rPr>
          <w:rFonts w:hint="eastAsia" w:asciiTheme="minorEastAsia" w:hAnsiTheme="minorEastAsia" w:eastAsiaTheme="minorEastAsia" w:cstheme="minorEastAsia"/>
          <w:color w:val="333333"/>
          <w:sz w:val="24"/>
          <w:szCs w:val="24"/>
          <w:shd w:val="clear" w:fill="FFFFFF"/>
          <w:lang w:eastAsia="zh-CN"/>
        </w:rPr>
        <w:t>下降</w:t>
      </w:r>
      <w:r>
        <w:rPr>
          <w:rFonts w:hint="eastAsia" w:asciiTheme="minorEastAsia" w:hAnsiTheme="minorEastAsia" w:eastAsiaTheme="minorEastAsia" w:cstheme="minorEastAsia"/>
          <w:color w:val="333333"/>
          <w:sz w:val="24"/>
          <w:szCs w:val="24"/>
          <w:shd w:val="clear" w:fill="FFFFFF"/>
          <w:lang w:val="en-US" w:eastAsia="zh-CN"/>
        </w:rPr>
        <w:t>10.2</w:t>
      </w:r>
      <w:r>
        <w:rPr>
          <w:rFonts w:hint="eastAsia" w:asciiTheme="minorEastAsia" w:hAnsiTheme="minorEastAsia" w:eastAsiaTheme="minorEastAsia" w:cstheme="minorEastAsia"/>
          <w:color w:val="333333"/>
          <w:sz w:val="24"/>
          <w:szCs w:val="24"/>
          <w:shd w:val="clear" w:fill="FFFFFF"/>
        </w:rPr>
        <w:t>%。</w:t>
      </w:r>
    </w:p>
    <w:p w14:paraId="26AD94E7">
      <w:pPr>
        <w:keepNext w:val="0"/>
        <w:keepLines w:val="0"/>
        <w:pageBreakBefore w:val="0"/>
        <w:widowControl/>
        <w:kinsoku/>
        <w:wordWrap/>
        <w:overflowPunct/>
        <w:topLinePunct w:val="0"/>
        <w:autoSpaceDE/>
        <w:autoSpaceDN/>
        <w:bidi w:val="0"/>
        <w:adjustRightInd/>
        <w:snapToGrid/>
        <w:spacing w:before="126" w:beforeLines="40" w:after="126" w:afterLines="40" w:line="360" w:lineRule="auto"/>
        <w:ind w:firstLine="482"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b/>
          <w:bCs/>
          <w:i w:val="0"/>
          <w:iCs w:val="0"/>
          <w:color w:val="333333"/>
          <w:kern w:val="0"/>
          <w:sz w:val="24"/>
          <w:szCs w:val="24"/>
          <w:shd w:val="clear" w:color="auto" w:fill="FFFFFF"/>
          <w:lang w:bidi="ar"/>
        </w:rPr>
        <w:t>表1</w:t>
      </w:r>
      <w:r>
        <w:rPr>
          <w:rFonts w:hint="eastAsia" w:asciiTheme="minorEastAsia" w:hAnsiTheme="minorEastAsia" w:eastAsiaTheme="minorEastAsia" w:cstheme="minorEastAsia"/>
          <w:b/>
          <w:bCs/>
          <w:i w:val="0"/>
          <w:iCs w:val="0"/>
          <w:color w:val="333333"/>
          <w:kern w:val="0"/>
          <w:sz w:val="24"/>
          <w:szCs w:val="24"/>
          <w:shd w:val="clear" w:color="auto" w:fill="FFFFFF"/>
          <w:lang w:val="en-US" w:eastAsia="zh-CN" w:bidi="ar"/>
        </w:rPr>
        <w:t>1</w:t>
      </w:r>
      <w:r>
        <w:rPr>
          <w:rFonts w:hint="eastAsia" w:asciiTheme="minorEastAsia" w:hAnsiTheme="minorEastAsia" w:eastAsiaTheme="minorEastAsia" w:cstheme="minorEastAsia"/>
          <w:b/>
          <w:bCs/>
          <w:i w:val="0"/>
          <w:iCs w:val="0"/>
          <w:color w:val="333333"/>
          <w:kern w:val="0"/>
          <w:sz w:val="24"/>
          <w:szCs w:val="24"/>
          <w:shd w:val="clear" w:color="auto" w:fill="FFFFFF"/>
          <w:lang w:bidi="ar"/>
        </w:rPr>
        <w:t xml:space="preserve">  201</w:t>
      </w:r>
      <w:r>
        <w:rPr>
          <w:rFonts w:hint="eastAsia" w:asciiTheme="minorEastAsia" w:hAnsiTheme="minorEastAsia" w:eastAsiaTheme="minorEastAsia" w:cstheme="minorEastAsia"/>
          <w:b/>
          <w:bCs/>
          <w:i w:val="0"/>
          <w:iCs w:val="0"/>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i w:val="0"/>
          <w:iCs w:val="0"/>
          <w:color w:val="333333"/>
          <w:kern w:val="0"/>
          <w:sz w:val="24"/>
          <w:szCs w:val="24"/>
          <w:shd w:val="clear" w:color="auto" w:fill="FFFFFF"/>
          <w:lang w:bidi="ar"/>
        </w:rPr>
        <w:t>年末金融机构本外币存贷款及其增长速度</w:t>
      </w:r>
      <w:r>
        <w:rPr>
          <w:rFonts w:hint="eastAsia" w:asciiTheme="minorEastAsia" w:hAnsiTheme="minorEastAsia" w:eastAsiaTheme="minorEastAsia" w:cstheme="minorEastAsia"/>
          <w:color w:val="333333"/>
          <w:kern w:val="0"/>
          <w:sz w:val="24"/>
          <w:szCs w:val="24"/>
          <w:shd w:val="clear" w:color="auto" w:fill="FFFFFF"/>
          <w:lang w:bidi="ar"/>
        </w:rPr>
        <w:t xml:space="preserve"> </w:t>
      </w:r>
    </w:p>
    <w:tbl>
      <w:tblPr>
        <w:tblStyle w:val="6"/>
        <w:tblW w:w="8638" w:type="dxa"/>
        <w:tblInd w:w="0" w:type="dxa"/>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Layout w:type="fixed"/>
        <w:tblCellMar>
          <w:top w:w="0" w:type="dxa"/>
          <w:left w:w="108" w:type="dxa"/>
          <w:bottom w:w="0" w:type="dxa"/>
          <w:right w:w="108" w:type="dxa"/>
        </w:tblCellMar>
      </w:tblPr>
      <w:tblGrid>
        <w:gridCol w:w="4886"/>
        <w:gridCol w:w="1876"/>
        <w:gridCol w:w="1876"/>
      </w:tblGrid>
      <w:tr w14:paraId="5A71B757">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831" w:hRule="atLeast"/>
        </w:trPr>
        <w:tc>
          <w:tcPr>
            <w:tcW w:w="4886" w:type="dxa"/>
            <w:tcBorders>
              <w:top w:val="single" w:color="auto" w:sz="12" w:space="0"/>
              <w:bottom w:val="single" w:color="auto" w:sz="8" w:space="0"/>
              <w:right w:val="single" w:color="auto" w:sz="8" w:space="0"/>
            </w:tcBorders>
            <w:noWrap w:val="0"/>
            <w:vAlign w:val="center"/>
          </w:tcPr>
          <w:p w14:paraId="6264BD25">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指     标</w:t>
            </w:r>
          </w:p>
        </w:tc>
        <w:tc>
          <w:tcPr>
            <w:tcW w:w="1876" w:type="dxa"/>
            <w:tcBorders>
              <w:top w:val="single" w:color="auto" w:sz="12" w:space="0"/>
              <w:left w:val="single" w:color="auto" w:sz="8" w:space="0"/>
              <w:bottom w:val="single" w:color="auto" w:sz="8" w:space="0"/>
              <w:right w:val="single" w:color="auto" w:sz="8" w:space="0"/>
            </w:tcBorders>
            <w:noWrap w:val="0"/>
            <w:vAlign w:val="center"/>
          </w:tcPr>
          <w:p w14:paraId="127580B6">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年末数</w:t>
            </w:r>
          </w:p>
          <w:p w14:paraId="26B64426">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（万元）</w:t>
            </w:r>
          </w:p>
        </w:tc>
        <w:tc>
          <w:tcPr>
            <w:tcW w:w="1876" w:type="dxa"/>
            <w:tcBorders>
              <w:top w:val="single" w:color="auto" w:sz="12" w:space="0"/>
              <w:left w:val="single" w:color="auto" w:sz="8" w:space="0"/>
              <w:bottom w:val="single" w:color="auto" w:sz="8" w:space="0"/>
            </w:tcBorders>
            <w:noWrap w:val="0"/>
            <w:vAlign w:val="center"/>
          </w:tcPr>
          <w:p w14:paraId="2C663069">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比年初增加</w:t>
            </w:r>
          </w:p>
          <w:p w14:paraId="3B1A4998">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（万元）</w:t>
            </w:r>
          </w:p>
        </w:tc>
      </w:tr>
      <w:tr w14:paraId="4E7BF8BC">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6" w:hRule="exact"/>
        </w:trPr>
        <w:tc>
          <w:tcPr>
            <w:tcW w:w="4886" w:type="dxa"/>
            <w:tcBorders>
              <w:top w:val="single" w:color="auto" w:sz="8" w:space="0"/>
              <w:bottom w:val="nil"/>
              <w:right w:val="single" w:color="auto" w:sz="8" w:space="0"/>
            </w:tcBorders>
            <w:noWrap w:val="0"/>
            <w:vAlign w:val="center"/>
          </w:tcPr>
          <w:p w14:paraId="5329726B">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各项存款余额</w:t>
            </w:r>
          </w:p>
        </w:tc>
        <w:tc>
          <w:tcPr>
            <w:tcW w:w="1876" w:type="dxa"/>
            <w:tcBorders>
              <w:top w:val="single" w:color="auto" w:sz="8" w:space="0"/>
              <w:left w:val="single" w:color="auto" w:sz="8" w:space="0"/>
              <w:bottom w:val="nil"/>
              <w:right w:val="single" w:color="auto" w:sz="8" w:space="0"/>
            </w:tcBorders>
            <w:noWrap w:val="0"/>
            <w:vAlign w:val="center"/>
          </w:tcPr>
          <w:p w14:paraId="253CD2FC">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2095879</w:t>
            </w:r>
          </w:p>
        </w:tc>
        <w:tc>
          <w:tcPr>
            <w:tcW w:w="1876" w:type="dxa"/>
            <w:tcBorders>
              <w:top w:val="single" w:color="auto" w:sz="8" w:space="0"/>
              <w:left w:val="single" w:color="auto" w:sz="8" w:space="0"/>
              <w:bottom w:val="nil"/>
            </w:tcBorders>
            <w:noWrap w:val="0"/>
            <w:vAlign w:val="center"/>
          </w:tcPr>
          <w:p w14:paraId="5D551BF0">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224569</w:t>
            </w:r>
          </w:p>
        </w:tc>
      </w:tr>
      <w:tr w14:paraId="652AB644">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6" w:hRule="exact"/>
        </w:trPr>
        <w:tc>
          <w:tcPr>
            <w:tcW w:w="4886" w:type="dxa"/>
            <w:tcBorders>
              <w:top w:val="nil"/>
              <w:bottom w:val="nil"/>
              <w:right w:val="single" w:color="auto" w:sz="8" w:space="0"/>
            </w:tcBorders>
            <w:noWrap w:val="0"/>
            <w:vAlign w:val="center"/>
          </w:tcPr>
          <w:p w14:paraId="05551532">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其中：住户存款</w:t>
            </w:r>
          </w:p>
        </w:tc>
        <w:tc>
          <w:tcPr>
            <w:tcW w:w="1876" w:type="dxa"/>
            <w:tcBorders>
              <w:top w:val="nil"/>
              <w:left w:val="single" w:color="auto" w:sz="8" w:space="0"/>
              <w:bottom w:val="nil"/>
              <w:right w:val="single" w:color="auto" w:sz="8" w:space="0"/>
            </w:tcBorders>
            <w:noWrap w:val="0"/>
            <w:vAlign w:val="center"/>
          </w:tcPr>
          <w:p w14:paraId="7D882D4E">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1409768</w:t>
            </w:r>
          </w:p>
        </w:tc>
        <w:tc>
          <w:tcPr>
            <w:tcW w:w="1876" w:type="dxa"/>
            <w:tcBorders>
              <w:top w:val="nil"/>
              <w:left w:val="single" w:color="auto" w:sz="8" w:space="0"/>
              <w:bottom w:val="nil"/>
            </w:tcBorders>
            <w:noWrap w:val="0"/>
            <w:vAlign w:val="center"/>
          </w:tcPr>
          <w:p w14:paraId="156B9F45">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150011</w:t>
            </w:r>
          </w:p>
        </w:tc>
      </w:tr>
      <w:tr w14:paraId="13B40FE5">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6" w:hRule="exact"/>
        </w:trPr>
        <w:tc>
          <w:tcPr>
            <w:tcW w:w="4886" w:type="dxa"/>
            <w:tcBorders>
              <w:top w:val="nil"/>
              <w:bottom w:val="nil"/>
              <w:right w:val="single" w:color="auto" w:sz="8" w:space="0"/>
            </w:tcBorders>
            <w:noWrap w:val="0"/>
            <w:vAlign w:val="center"/>
          </w:tcPr>
          <w:p w14:paraId="63E1461B">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非金融企业存款</w:t>
            </w:r>
          </w:p>
        </w:tc>
        <w:tc>
          <w:tcPr>
            <w:tcW w:w="1876" w:type="dxa"/>
            <w:tcBorders>
              <w:top w:val="nil"/>
              <w:left w:val="single" w:color="auto" w:sz="8" w:space="0"/>
              <w:bottom w:val="nil"/>
              <w:right w:val="single" w:color="auto" w:sz="8" w:space="0"/>
            </w:tcBorders>
            <w:noWrap w:val="0"/>
            <w:vAlign w:val="center"/>
          </w:tcPr>
          <w:p w14:paraId="495EFE33">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419749</w:t>
            </w:r>
          </w:p>
        </w:tc>
        <w:tc>
          <w:tcPr>
            <w:tcW w:w="1876" w:type="dxa"/>
            <w:tcBorders>
              <w:top w:val="nil"/>
              <w:left w:val="single" w:color="auto" w:sz="8" w:space="0"/>
              <w:bottom w:val="nil"/>
            </w:tcBorders>
            <w:noWrap w:val="0"/>
            <w:vAlign w:val="center"/>
          </w:tcPr>
          <w:p w14:paraId="64428E9E">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56403</w:t>
            </w:r>
          </w:p>
        </w:tc>
      </w:tr>
      <w:tr w14:paraId="1905B05F">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6" w:hRule="exact"/>
        </w:trPr>
        <w:tc>
          <w:tcPr>
            <w:tcW w:w="4886" w:type="dxa"/>
            <w:tcBorders>
              <w:top w:val="nil"/>
              <w:bottom w:val="nil"/>
              <w:right w:val="single" w:color="auto" w:sz="8" w:space="0"/>
            </w:tcBorders>
            <w:noWrap w:val="0"/>
            <w:vAlign w:val="center"/>
          </w:tcPr>
          <w:p w14:paraId="7D91DEC2">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各项贷款余额</w:t>
            </w:r>
          </w:p>
        </w:tc>
        <w:tc>
          <w:tcPr>
            <w:tcW w:w="1876" w:type="dxa"/>
            <w:tcBorders>
              <w:top w:val="nil"/>
              <w:left w:val="single" w:color="auto" w:sz="8" w:space="0"/>
              <w:bottom w:val="nil"/>
              <w:right w:val="single" w:color="auto" w:sz="8" w:space="0"/>
            </w:tcBorders>
            <w:noWrap w:val="0"/>
            <w:vAlign w:val="center"/>
          </w:tcPr>
          <w:p w14:paraId="1BF86257">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732745</w:t>
            </w:r>
          </w:p>
        </w:tc>
        <w:tc>
          <w:tcPr>
            <w:tcW w:w="1876" w:type="dxa"/>
            <w:tcBorders>
              <w:top w:val="nil"/>
              <w:left w:val="single" w:color="auto" w:sz="8" w:space="0"/>
              <w:bottom w:val="nil"/>
            </w:tcBorders>
            <w:noWrap w:val="0"/>
            <w:vAlign w:val="center"/>
          </w:tcPr>
          <w:p w14:paraId="1B59A4D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-68442</w:t>
            </w:r>
          </w:p>
        </w:tc>
      </w:tr>
      <w:tr w14:paraId="4CCDFE92">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6" w:hRule="exact"/>
        </w:trPr>
        <w:tc>
          <w:tcPr>
            <w:tcW w:w="4886" w:type="dxa"/>
            <w:tcBorders>
              <w:top w:val="nil"/>
              <w:bottom w:val="nil"/>
              <w:right w:val="single" w:color="auto" w:sz="8" w:space="0"/>
            </w:tcBorders>
            <w:noWrap w:val="0"/>
            <w:vAlign w:val="center"/>
          </w:tcPr>
          <w:p w14:paraId="578484D1">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其中：短期贷款</w:t>
            </w:r>
          </w:p>
        </w:tc>
        <w:tc>
          <w:tcPr>
            <w:tcW w:w="1876" w:type="dxa"/>
            <w:tcBorders>
              <w:top w:val="nil"/>
              <w:left w:val="single" w:color="auto" w:sz="8" w:space="0"/>
              <w:bottom w:val="nil"/>
              <w:right w:val="single" w:color="auto" w:sz="8" w:space="0"/>
            </w:tcBorders>
            <w:noWrap w:val="0"/>
            <w:vAlign w:val="center"/>
          </w:tcPr>
          <w:p w14:paraId="5A2857D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96498</w:t>
            </w:r>
          </w:p>
        </w:tc>
        <w:tc>
          <w:tcPr>
            <w:tcW w:w="1876" w:type="dxa"/>
            <w:tcBorders>
              <w:top w:val="nil"/>
              <w:left w:val="single" w:color="auto" w:sz="8" w:space="0"/>
              <w:bottom w:val="nil"/>
            </w:tcBorders>
            <w:noWrap w:val="0"/>
            <w:vAlign w:val="center"/>
          </w:tcPr>
          <w:p w14:paraId="5F9C14D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6392</w:t>
            </w:r>
          </w:p>
        </w:tc>
      </w:tr>
      <w:tr w14:paraId="49844AFF">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596" w:hRule="exact"/>
        </w:trPr>
        <w:tc>
          <w:tcPr>
            <w:tcW w:w="4886" w:type="dxa"/>
            <w:tcBorders>
              <w:top w:val="nil"/>
              <w:bottom w:val="nil"/>
              <w:right w:val="single" w:color="auto" w:sz="8" w:space="0"/>
            </w:tcBorders>
            <w:noWrap w:val="0"/>
            <w:vAlign w:val="center"/>
          </w:tcPr>
          <w:p w14:paraId="0FDF1BBE">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中长期贷款</w:t>
            </w:r>
          </w:p>
        </w:tc>
        <w:tc>
          <w:tcPr>
            <w:tcW w:w="1876" w:type="dxa"/>
            <w:tcBorders>
              <w:top w:val="nil"/>
              <w:left w:val="single" w:color="auto" w:sz="8" w:space="0"/>
              <w:bottom w:val="nil"/>
              <w:right w:val="single" w:color="auto" w:sz="8" w:space="0"/>
            </w:tcBorders>
            <w:noWrap w:val="0"/>
            <w:vAlign w:val="center"/>
          </w:tcPr>
          <w:p w14:paraId="61697E2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26541</w:t>
            </w:r>
          </w:p>
        </w:tc>
        <w:tc>
          <w:tcPr>
            <w:tcW w:w="1876" w:type="dxa"/>
            <w:tcBorders>
              <w:top w:val="nil"/>
              <w:left w:val="single" w:color="auto" w:sz="8" w:space="0"/>
              <w:bottom w:val="nil"/>
            </w:tcBorders>
            <w:noWrap w:val="0"/>
            <w:vAlign w:val="center"/>
          </w:tcPr>
          <w:p w14:paraId="0319DFFB">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-2338</w:t>
            </w:r>
          </w:p>
        </w:tc>
      </w:tr>
      <w:tr w14:paraId="787A70A3">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658" w:hRule="exact"/>
        </w:trPr>
        <w:tc>
          <w:tcPr>
            <w:tcW w:w="4886" w:type="dxa"/>
            <w:tcBorders>
              <w:top w:val="nil"/>
              <w:bottom w:val="single" w:color="auto" w:sz="12" w:space="0"/>
              <w:right w:val="single" w:color="auto" w:sz="8" w:space="0"/>
            </w:tcBorders>
            <w:noWrap w:val="0"/>
            <w:vAlign w:val="center"/>
          </w:tcPr>
          <w:p w14:paraId="4E33DC8D">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eastAsia="zh-CN" w:bidi="ar"/>
              </w:rPr>
              <w:t>　　</w:t>
            </w:r>
            <w:r>
              <w:rPr>
                <w:rFonts w:hint="eastAsia" w:asciiTheme="minorEastAsia" w:hAnsiTheme="minorEastAsia" w:eastAsiaTheme="minorEastAsia" w:cstheme="minorEastAsia"/>
                <w:color w:val="333333"/>
                <w:kern w:val="0"/>
                <w:sz w:val="24"/>
                <w:szCs w:val="24"/>
                <w:shd w:val="clear" w:color="auto" w:fill="FFFFFF"/>
                <w:lang w:bidi="ar"/>
              </w:rPr>
              <w:t>其中：非金融企业及机关团体贷款</w:t>
            </w:r>
          </w:p>
        </w:tc>
        <w:tc>
          <w:tcPr>
            <w:tcW w:w="1876" w:type="dxa"/>
            <w:tcBorders>
              <w:top w:val="nil"/>
              <w:left w:val="single" w:color="auto" w:sz="8" w:space="0"/>
              <w:bottom w:val="single" w:color="auto" w:sz="12" w:space="0"/>
              <w:right w:val="single" w:color="auto" w:sz="8" w:space="0"/>
            </w:tcBorders>
            <w:noWrap w:val="0"/>
            <w:vAlign w:val="center"/>
          </w:tcPr>
          <w:p w14:paraId="59D99C19">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609705</w:t>
            </w:r>
          </w:p>
        </w:tc>
        <w:tc>
          <w:tcPr>
            <w:tcW w:w="1876" w:type="dxa"/>
            <w:tcBorders>
              <w:top w:val="nil"/>
              <w:left w:val="single" w:color="auto" w:sz="8" w:space="0"/>
              <w:bottom w:val="single" w:color="auto" w:sz="12" w:space="0"/>
            </w:tcBorders>
            <w:noWrap w:val="0"/>
            <w:vAlign w:val="center"/>
          </w:tcPr>
          <w:p w14:paraId="5C83BC4E">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-72496</w:t>
            </w:r>
          </w:p>
        </w:tc>
      </w:tr>
    </w:tbl>
    <w:p w14:paraId="56E2BA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图7  2015-2019年全县金融机构本外币储蓄存款余额及其增长速度</w:t>
      </w:r>
    </w:p>
    <w:p w14:paraId="0504A6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g">
            <w:drawing>
              <wp:inline distT="0" distB="0" distL="114300" distR="114300">
                <wp:extent cx="5165090" cy="3592195"/>
                <wp:effectExtent l="0" t="4445" r="16510" b="22860"/>
                <wp:docPr id="38" name="组合 38"/>
                <wp:cNvGraphicFramePr/>
                <a:graphic xmlns:a="http://schemas.openxmlformats.org/drawingml/2006/main">
                  <a:graphicData uri="http://schemas.microsoft.com/office/word/2010/wordprocessingGroup">
                    <wpg:wgp>
                      <wpg:cNvGrpSpPr/>
                      <wpg:grpSpPr>
                        <a:xfrm>
                          <a:off x="0" y="0"/>
                          <a:ext cx="5165090" cy="3592195"/>
                          <a:chOff x="2725" y="260823"/>
                          <a:chExt cx="8134" cy="5392"/>
                        </a:xfrm>
                      </wpg:grpSpPr>
                      <wpg:graphicFrame>
                        <wpg:cNvPr id="74890" name="图表 3"/>
                        <wpg:cNvFrPr/>
                        <wpg:xfrm>
                          <a:off x="2745" y="260823"/>
                          <a:ext cx="8114" cy="5393"/>
                        </wpg:xfrm>
                        <a:graphic>
                          <a:graphicData uri="http://schemas.openxmlformats.org/drawingml/2006/chart">
                            <c:chart xmlns:c="http://schemas.openxmlformats.org/drawingml/2006/chart" xmlns:r="http://schemas.openxmlformats.org/officeDocument/2006/relationships" r:id="rId14"/>
                          </a:graphicData>
                        </a:graphic>
                      </wpg:graphicFrame>
                      <wps:wsp>
                        <wps:cNvPr id="36" name="文本框 4"/>
                        <wps:cNvSpPr txBox="1"/>
                        <wps:spPr>
                          <a:xfrm>
                            <a:off x="2725" y="260917"/>
                            <a:ext cx="750" cy="45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6C45487">
                              <w:pPr>
                                <w:pStyle w:val="5"/>
                                <w:kinsoku/>
                                <w:ind w:left="0"/>
                                <w:jc w:val="left"/>
                              </w:pPr>
                              <w:r>
                                <w:rPr>
                                  <w:rFonts w:asciiTheme="minorAscii" w:hAnsiTheme="minorBidi" w:eastAsiaTheme="minorEastAsia"/>
                                  <w:color w:val="000000" w:themeColor="dark1"/>
                                  <w:kern w:val="24"/>
                                  <w:sz w:val="20"/>
                                  <w:szCs w:val="20"/>
                                  <w14:textFill>
                                    <w14:solidFill>
                                      <w14:schemeClr w14:val="dk1"/>
                                    </w14:solidFill>
                                  </w14:textFill>
                                </w:rPr>
                                <w:t>亿元</w:t>
                              </w:r>
                            </w:p>
                          </w:txbxContent>
                        </wps:txbx>
                        <wps:bodyPr vertOverflow="clip" horzOverflow="clip" wrap="square" rtlCol="0" anchor="t">
                          <a:noAutofit/>
                        </wps:bodyPr>
                      </wps:wsp>
                      <wps:wsp>
                        <wps:cNvPr id="37" name="文本框 5"/>
                        <wps:cNvSpPr txBox="1"/>
                        <wps:spPr>
                          <a:xfrm>
                            <a:off x="10335" y="260938"/>
                            <a:ext cx="511" cy="45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49CF2E5">
                              <w:pPr>
                                <w:pStyle w:val="5"/>
                                <w:kinsoku/>
                                <w:ind w:left="0"/>
                                <w:jc w:val="left"/>
                              </w:pPr>
                              <w:r>
                                <w:rPr>
                                  <w:rFonts w:asciiTheme="minorAscii" w:hAnsiTheme="minorBidi" w:eastAsiaTheme="minorEastAsia"/>
                                  <w:color w:val="000000" w:themeColor="dark1"/>
                                  <w:kern w:val="24"/>
                                  <w:sz w:val="20"/>
                                  <w:szCs w:val="20"/>
                                  <w14:textFill>
                                    <w14:solidFill>
                                      <w14:schemeClr w14:val="dk1"/>
                                    </w14:solidFill>
                                  </w14:textFill>
                                </w:rPr>
                                <w:t>%</w:t>
                              </w:r>
                            </w:p>
                          </w:txbxContent>
                        </wps:txbx>
                        <wps:bodyPr vertOverflow="clip" horzOverflow="clip" wrap="square" rtlCol="0" anchor="t">
                          <a:noAutofit/>
                        </wps:bodyPr>
                      </wps:wsp>
                    </wpg:wgp>
                  </a:graphicData>
                </a:graphic>
              </wp:inline>
            </w:drawing>
          </mc:Choice>
          <mc:Fallback>
            <w:pict>
              <v:group id="_x0000_s1026" o:spid="_x0000_s1026" o:spt="203" style="height:282.85pt;width:406.7pt;" coordorigin="2725,260823" coordsize="8134,5392" o:gfxdata="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">
                <o:lock v:ext="edit" aspectratio="f"/>
                <v:rect id="图表 3" o:spid="_x0000_s1026" o:spt="75" style="position:absolute;left:2738;top:260816;height:5407;width:8129;" coordsize="21600,21600" o:gfxdata="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cQ89m5AAAA3gAA&#10;AA8AAAAAAAAAAQAgAAAAIgAAAGRycy9kb3ducmV2LnhtbFBLAQIUABQAAAAIAIdO4kAzLwWeOwAA&#10;ADkAAAAQAAAAAAAAAAEAIAAAAAgBAABkcnMvc2hhcGV4bWwueG1sUEsFBgAAAAAGAAYAWwEAALID&#10;AAAAAA==&#10;">
                  <v:imagedata r:id="rId15" o:title=""/>
                  <o:lock v:ext="edit"/>
                </v:rect>
                <v:shape id="文本框 4" o:spid="_x0000_s1026" o:spt="202" type="#_x0000_t202" style="position:absolute;left:2725;top:260917;height:457;width:750;"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56C45487">
                        <w:pPr>
                          <w:pStyle w:val="5"/>
                          <w:kinsoku/>
                          <w:ind w:left="0"/>
                          <w:jc w:val="left"/>
                        </w:pPr>
                        <w:r>
                          <w:rPr>
                            <w:rFonts w:asciiTheme="minorAscii" w:hAnsiTheme="minorBidi" w:eastAsiaTheme="minorEastAsia"/>
                            <w:color w:val="000000" w:themeColor="dark1"/>
                            <w:kern w:val="24"/>
                            <w:sz w:val="20"/>
                            <w:szCs w:val="20"/>
                            <w14:textFill>
                              <w14:solidFill>
                                <w14:schemeClr w14:val="dk1"/>
                              </w14:solidFill>
                            </w14:textFill>
                          </w:rPr>
                          <w:t>亿元</w:t>
                        </w:r>
                      </w:p>
                    </w:txbxContent>
                  </v:textbox>
                </v:shape>
                <v:shape id="文本框 5" o:spid="_x0000_s1026" o:spt="202" type="#_x0000_t202" style="position:absolute;left:10335;top:260938;height:457;width:511;"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349CF2E5">
                        <w:pPr>
                          <w:pStyle w:val="5"/>
                          <w:kinsoku/>
                          <w:ind w:left="0"/>
                          <w:jc w:val="left"/>
                        </w:pPr>
                        <w:r>
                          <w:rPr>
                            <w:rFonts w:asciiTheme="minorAscii" w:hAnsiTheme="minorBidi" w:eastAsiaTheme="minorEastAsia"/>
                            <w:color w:val="000000" w:themeColor="dark1"/>
                            <w:kern w:val="24"/>
                            <w:sz w:val="20"/>
                            <w:szCs w:val="20"/>
                            <w14:textFill>
                              <w14:solidFill>
                                <w14:schemeClr w14:val="dk1"/>
                              </w14:solidFill>
                            </w14:textFill>
                          </w:rPr>
                          <w:t>%</w:t>
                        </w:r>
                      </w:p>
                    </w:txbxContent>
                  </v:textbox>
                </v:shape>
                <w10:wrap type="none"/>
                <w10:anchorlock/>
              </v:group>
            </w:pict>
          </mc:Fallback>
        </mc:AlternateContent>
      </w:r>
    </w:p>
    <w:p w14:paraId="2F2F15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lang w:eastAsia="zh-CN"/>
        </w:rPr>
        <w:t>九</w:t>
      </w:r>
      <w:r>
        <w:rPr>
          <w:rFonts w:hint="eastAsia" w:asciiTheme="minorEastAsia" w:hAnsiTheme="minorEastAsia" w:eastAsiaTheme="minorEastAsia" w:cstheme="minorEastAsia"/>
          <w:b/>
          <w:bCs/>
          <w:color w:val="333333"/>
          <w:sz w:val="24"/>
          <w:szCs w:val="24"/>
          <w:shd w:val="clear" w:fill="FFFFFF"/>
        </w:rPr>
        <w:t xml:space="preserve">、教育和科学技术 </w:t>
      </w:r>
    </w:p>
    <w:p w14:paraId="35EA1A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9" w:leftChars="9" w:right="0" w:firstLine="480" w:firstLineChars="200"/>
        <w:textAlignment w:val="auto"/>
        <w:rPr>
          <w:rFonts w:hint="eastAsia" w:asciiTheme="minorEastAsia" w:hAnsiTheme="minorEastAsia" w:eastAsiaTheme="minorEastAsia" w:cstheme="minorEastAsia"/>
          <w:color w:val="333333"/>
          <w:sz w:val="24"/>
          <w:szCs w:val="24"/>
          <w:shd w:val="clear" w:fill="FFFFFF"/>
        </w:rPr>
      </w:pPr>
      <w:r>
        <w:rPr>
          <w:rFonts w:hint="eastAsia" w:asciiTheme="minorEastAsia" w:hAnsiTheme="minorEastAsia" w:eastAsiaTheme="minorEastAsia" w:cstheme="minorEastAsia"/>
          <w:color w:val="333333"/>
          <w:sz w:val="24"/>
          <w:szCs w:val="24"/>
          <w:shd w:val="clear" w:fill="FFFFFF"/>
        </w:rPr>
        <w:t>年末全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共有幼儿园</w:t>
      </w:r>
      <w:r>
        <w:rPr>
          <w:rFonts w:hint="eastAsia" w:asciiTheme="minorEastAsia" w:hAnsiTheme="minorEastAsia" w:eastAsiaTheme="minorEastAsia" w:cstheme="minorEastAsia"/>
          <w:color w:val="333333"/>
          <w:sz w:val="24"/>
          <w:szCs w:val="24"/>
          <w:shd w:val="clear" w:fill="FFFFFF"/>
          <w:lang w:val="en-US" w:eastAsia="zh-CN"/>
        </w:rPr>
        <w:t>72</w:t>
      </w:r>
      <w:r>
        <w:rPr>
          <w:rFonts w:hint="eastAsia" w:asciiTheme="minorEastAsia" w:hAnsiTheme="minorEastAsia" w:eastAsiaTheme="minorEastAsia" w:cstheme="minorEastAsia"/>
          <w:color w:val="333333"/>
          <w:sz w:val="24"/>
          <w:szCs w:val="24"/>
          <w:shd w:val="clear" w:fill="FFFFFF"/>
        </w:rPr>
        <w:t>所，小学</w:t>
      </w:r>
      <w:r>
        <w:rPr>
          <w:rFonts w:hint="eastAsia" w:asciiTheme="minorEastAsia" w:hAnsiTheme="minorEastAsia" w:eastAsiaTheme="minorEastAsia" w:cstheme="minorEastAsia"/>
          <w:color w:val="333333"/>
          <w:sz w:val="24"/>
          <w:szCs w:val="24"/>
          <w:shd w:val="clear" w:fill="FFFFFF"/>
          <w:lang w:val="en-US" w:eastAsia="zh-CN"/>
        </w:rPr>
        <w:t>118</w:t>
      </w:r>
      <w:r>
        <w:rPr>
          <w:rFonts w:hint="eastAsia" w:asciiTheme="minorEastAsia" w:hAnsiTheme="minorEastAsia" w:eastAsiaTheme="minorEastAsia" w:cstheme="minorEastAsia"/>
          <w:color w:val="333333"/>
          <w:sz w:val="24"/>
          <w:szCs w:val="24"/>
          <w:shd w:val="clear" w:fill="FFFFFF"/>
        </w:rPr>
        <w:t>所，普通初中</w:t>
      </w:r>
      <w:r>
        <w:rPr>
          <w:rFonts w:hint="eastAsia" w:asciiTheme="minorEastAsia" w:hAnsiTheme="minorEastAsia" w:eastAsiaTheme="minorEastAsia" w:cstheme="minorEastAsia"/>
          <w:color w:val="333333"/>
          <w:sz w:val="24"/>
          <w:szCs w:val="24"/>
          <w:shd w:val="clear" w:fill="FFFFFF"/>
          <w:lang w:val="en-US" w:eastAsia="zh-CN"/>
        </w:rPr>
        <w:t>26</w:t>
      </w:r>
      <w:r>
        <w:rPr>
          <w:rFonts w:hint="eastAsia" w:asciiTheme="minorEastAsia" w:hAnsiTheme="minorEastAsia" w:eastAsiaTheme="minorEastAsia" w:cstheme="minorEastAsia"/>
          <w:color w:val="333333"/>
          <w:sz w:val="24"/>
          <w:szCs w:val="24"/>
          <w:shd w:val="clear" w:fill="FFFFFF"/>
        </w:rPr>
        <w:t>所，普通高中</w:t>
      </w:r>
      <w:r>
        <w:rPr>
          <w:rFonts w:hint="eastAsia" w:asciiTheme="minorEastAsia" w:hAnsiTheme="minorEastAsia" w:eastAsiaTheme="minorEastAsia" w:cstheme="minorEastAsia"/>
          <w:color w:val="333333"/>
          <w:sz w:val="24"/>
          <w:szCs w:val="24"/>
          <w:shd w:val="clear" w:fill="FFFFFF"/>
          <w:lang w:val="en-US" w:eastAsia="zh-CN"/>
        </w:rPr>
        <w:t>3</w:t>
      </w:r>
      <w:r>
        <w:rPr>
          <w:rFonts w:hint="eastAsia" w:asciiTheme="minorEastAsia" w:hAnsiTheme="minorEastAsia" w:eastAsiaTheme="minorEastAsia" w:cstheme="minorEastAsia"/>
          <w:color w:val="333333"/>
          <w:sz w:val="24"/>
          <w:szCs w:val="24"/>
          <w:shd w:val="clear" w:fill="FFFFFF"/>
        </w:rPr>
        <w:t>所，中等职业学校</w:t>
      </w:r>
      <w:r>
        <w:rPr>
          <w:rFonts w:hint="eastAsia" w:asciiTheme="minorEastAsia" w:hAnsiTheme="minorEastAsia" w:eastAsiaTheme="minorEastAsia" w:cstheme="minorEastAsia"/>
          <w:color w:val="333333"/>
          <w:sz w:val="24"/>
          <w:szCs w:val="24"/>
          <w:shd w:val="clear" w:fill="FFFFFF"/>
          <w:lang w:val="en-US" w:eastAsia="zh-CN"/>
        </w:rPr>
        <w:t>1</w:t>
      </w:r>
      <w:r>
        <w:rPr>
          <w:rFonts w:hint="eastAsia" w:asciiTheme="minorEastAsia" w:hAnsiTheme="minorEastAsia" w:eastAsiaTheme="minorEastAsia" w:cstheme="minorEastAsia"/>
          <w:color w:val="333333"/>
          <w:sz w:val="24"/>
          <w:szCs w:val="24"/>
          <w:shd w:val="clear" w:fill="FFFFFF"/>
        </w:rPr>
        <w:t xml:space="preserve">所。 </w:t>
      </w:r>
    </w:p>
    <w:p w14:paraId="20DD1341">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表1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2</w:t>
      </w:r>
      <w:r>
        <w:rPr>
          <w:rFonts w:hint="eastAsia" w:asciiTheme="minorEastAsia" w:hAnsiTheme="minorEastAsia" w:eastAsiaTheme="minorEastAsia" w:cstheme="minorEastAsia"/>
          <w:b/>
          <w:bCs/>
          <w:color w:val="333333"/>
          <w:kern w:val="0"/>
          <w:sz w:val="24"/>
          <w:szCs w:val="24"/>
          <w:shd w:val="clear" w:color="auto" w:fill="FFFFFF"/>
          <w:lang w:bidi="ar"/>
        </w:rPr>
        <w:t xml:space="preserve"> </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 xml:space="preserve"> </w:t>
      </w:r>
      <w:r>
        <w:rPr>
          <w:rFonts w:hint="eastAsia" w:asciiTheme="minorEastAsia" w:hAnsiTheme="minorEastAsia" w:eastAsiaTheme="minorEastAsia" w:cstheme="minorEastAsia"/>
          <w:b/>
          <w:bCs/>
          <w:color w:val="333333"/>
          <w:kern w:val="0"/>
          <w:sz w:val="24"/>
          <w:szCs w:val="24"/>
          <w:shd w:val="clear" w:color="auto" w:fill="FFFFFF"/>
          <w:lang w:bidi="ar"/>
        </w:rPr>
        <w:t>201</w:t>
      </w:r>
      <w:r>
        <w:rPr>
          <w:rFonts w:hint="eastAsia" w:asciiTheme="minorEastAsia" w:hAnsiTheme="minorEastAsia" w:eastAsiaTheme="minorEastAsia" w:cstheme="minorEastAsia"/>
          <w:b/>
          <w:bCs/>
          <w:color w:val="333333"/>
          <w:kern w:val="0"/>
          <w:sz w:val="24"/>
          <w:szCs w:val="24"/>
          <w:shd w:val="clear" w:color="auto" w:fill="FFFFFF"/>
          <w:lang w:val="en-US" w:eastAsia="zh-CN" w:bidi="ar"/>
        </w:rPr>
        <w:t>9</w:t>
      </w:r>
      <w:r>
        <w:rPr>
          <w:rFonts w:hint="eastAsia" w:asciiTheme="minorEastAsia" w:hAnsiTheme="minorEastAsia" w:eastAsiaTheme="minorEastAsia" w:cstheme="minorEastAsia"/>
          <w:b/>
          <w:bCs/>
          <w:color w:val="333333"/>
          <w:kern w:val="0"/>
          <w:sz w:val="24"/>
          <w:szCs w:val="24"/>
          <w:shd w:val="clear" w:color="auto" w:fill="FFFFFF"/>
          <w:lang w:bidi="ar"/>
        </w:rPr>
        <w:t xml:space="preserve">年各类教育发展情况 </w:t>
      </w:r>
    </w:p>
    <w:p w14:paraId="0456D796">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right"/>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单位：人</w:t>
      </w:r>
    </w:p>
    <w:tbl>
      <w:tblPr>
        <w:tblStyle w:val="6"/>
        <w:tblpPr w:leftFromText="180" w:rightFromText="180" w:vertAnchor="text" w:horzAnchor="page" w:tblpX="1828" w:tblpY="158"/>
        <w:tblOverlap w:val="never"/>
        <w:tblW w:w="8500" w:type="dxa"/>
        <w:tblInd w:w="0" w:type="dxa"/>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Layout w:type="fixed"/>
        <w:tblCellMar>
          <w:top w:w="0" w:type="dxa"/>
          <w:left w:w="108" w:type="dxa"/>
          <w:bottom w:w="0" w:type="dxa"/>
          <w:right w:w="108" w:type="dxa"/>
        </w:tblCellMar>
      </w:tblPr>
      <w:tblGrid>
        <w:gridCol w:w="1401"/>
        <w:gridCol w:w="1183"/>
        <w:gridCol w:w="1183"/>
        <w:gridCol w:w="1183"/>
        <w:gridCol w:w="1183"/>
        <w:gridCol w:w="1183"/>
        <w:gridCol w:w="1184"/>
      </w:tblGrid>
      <w:tr w14:paraId="096079D0">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1181" w:hRule="atLeast"/>
        </w:trPr>
        <w:tc>
          <w:tcPr>
            <w:tcW w:w="1401" w:type="dxa"/>
            <w:tcBorders>
              <w:top w:val="single" w:color="auto" w:sz="12" w:space="0"/>
              <w:bottom w:val="single" w:color="auto" w:sz="8" w:space="0"/>
              <w:right w:val="single" w:color="auto" w:sz="8" w:space="0"/>
            </w:tcBorders>
            <w:noWrap w:val="0"/>
            <w:vAlign w:val="center"/>
          </w:tcPr>
          <w:p w14:paraId="5F754103">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指  标</w:t>
            </w:r>
          </w:p>
        </w:tc>
        <w:tc>
          <w:tcPr>
            <w:tcW w:w="1183" w:type="dxa"/>
            <w:tcBorders>
              <w:top w:val="single" w:color="auto" w:sz="12" w:space="0"/>
              <w:left w:val="single" w:color="auto" w:sz="8" w:space="0"/>
              <w:bottom w:val="single" w:color="auto" w:sz="8" w:space="0"/>
              <w:right w:val="single" w:color="auto" w:sz="8" w:space="0"/>
            </w:tcBorders>
            <w:noWrap w:val="0"/>
            <w:vAlign w:val="center"/>
          </w:tcPr>
          <w:p w14:paraId="08D7C51B">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招生数</w:t>
            </w:r>
          </w:p>
        </w:tc>
        <w:tc>
          <w:tcPr>
            <w:tcW w:w="1183" w:type="dxa"/>
            <w:tcBorders>
              <w:top w:val="single" w:color="auto" w:sz="12" w:space="0"/>
              <w:left w:val="single" w:color="auto" w:sz="8" w:space="0"/>
              <w:bottom w:val="single" w:color="auto" w:sz="8" w:space="0"/>
              <w:right w:val="single" w:color="auto" w:sz="8" w:space="0"/>
            </w:tcBorders>
            <w:noWrap w:val="0"/>
            <w:vAlign w:val="center"/>
          </w:tcPr>
          <w:p w14:paraId="1BB6C4F6">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比上年增减数</w:t>
            </w:r>
          </w:p>
        </w:tc>
        <w:tc>
          <w:tcPr>
            <w:tcW w:w="1183" w:type="dxa"/>
            <w:tcBorders>
              <w:top w:val="single" w:color="auto" w:sz="12" w:space="0"/>
              <w:left w:val="single" w:color="auto" w:sz="8" w:space="0"/>
              <w:bottom w:val="single" w:color="auto" w:sz="8" w:space="0"/>
              <w:right w:val="single" w:color="auto" w:sz="8" w:space="0"/>
            </w:tcBorders>
            <w:noWrap w:val="0"/>
            <w:vAlign w:val="center"/>
          </w:tcPr>
          <w:p w14:paraId="22BF27BE">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在校</w:t>
            </w:r>
          </w:p>
          <w:p w14:paraId="6A775963">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生数</w:t>
            </w:r>
          </w:p>
        </w:tc>
        <w:tc>
          <w:tcPr>
            <w:tcW w:w="1183" w:type="dxa"/>
            <w:tcBorders>
              <w:top w:val="single" w:color="auto" w:sz="12" w:space="0"/>
              <w:left w:val="single" w:color="auto" w:sz="8" w:space="0"/>
              <w:bottom w:val="single" w:color="auto" w:sz="8" w:space="0"/>
              <w:right w:val="single" w:color="auto" w:sz="8" w:space="0"/>
            </w:tcBorders>
            <w:noWrap w:val="0"/>
            <w:vAlign w:val="center"/>
          </w:tcPr>
          <w:p w14:paraId="612D33B2">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比上年增减数</w:t>
            </w:r>
          </w:p>
        </w:tc>
        <w:tc>
          <w:tcPr>
            <w:tcW w:w="1183" w:type="dxa"/>
            <w:tcBorders>
              <w:top w:val="single" w:color="auto" w:sz="12" w:space="0"/>
              <w:left w:val="single" w:color="auto" w:sz="8" w:space="0"/>
              <w:bottom w:val="single" w:color="auto" w:sz="8" w:space="0"/>
              <w:right w:val="single" w:color="auto" w:sz="8" w:space="0"/>
            </w:tcBorders>
            <w:noWrap w:val="0"/>
            <w:vAlign w:val="center"/>
          </w:tcPr>
          <w:p w14:paraId="3C6C9ADD">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毕业</w:t>
            </w:r>
          </w:p>
          <w:p w14:paraId="4971CEAF">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生数</w:t>
            </w:r>
          </w:p>
        </w:tc>
        <w:tc>
          <w:tcPr>
            <w:tcW w:w="1184" w:type="dxa"/>
            <w:tcBorders>
              <w:top w:val="single" w:color="auto" w:sz="12" w:space="0"/>
              <w:left w:val="single" w:color="auto" w:sz="8" w:space="0"/>
              <w:bottom w:val="single" w:color="auto" w:sz="8" w:space="0"/>
            </w:tcBorders>
            <w:noWrap w:val="0"/>
            <w:vAlign w:val="center"/>
          </w:tcPr>
          <w:p w14:paraId="6D993D17">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333333"/>
                <w:kern w:val="0"/>
                <w:sz w:val="24"/>
                <w:szCs w:val="24"/>
                <w:shd w:val="clear" w:color="auto" w:fill="FFFFFF"/>
                <w:lang w:bidi="ar"/>
              </w:rPr>
            </w:pPr>
            <w:r>
              <w:rPr>
                <w:rFonts w:hint="eastAsia" w:asciiTheme="minorEastAsia" w:hAnsiTheme="minorEastAsia" w:eastAsiaTheme="minorEastAsia" w:cstheme="minorEastAsia"/>
                <w:b/>
                <w:bCs/>
                <w:color w:val="333333"/>
                <w:kern w:val="0"/>
                <w:sz w:val="24"/>
                <w:szCs w:val="24"/>
                <w:shd w:val="clear" w:color="auto" w:fill="FFFFFF"/>
                <w:lang w:bidi="ar"/>
              </w:rPr>
              <w:t>比上年增减数</w:t>
            </w:r>
          </w:p>
        </w:tc>
      </w:tr>
      <w:tr w14:paraId="1D5AEF6E">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806" w:hRule="atLeast"/>
        </w:trPr>
        <w:tc>
          <w:tcPr>
            <w:tcW w:w="1401" w:type="dxa"/>
            <w:tcBorders>
              <w:top w:val="single" w:color="auto" w:sz="8" w:space="0"/>
              <w:bottom w:val="nil"/>
              <w:right w:val="single" w:color="auto" w:sz="8" w:space="0"/>
            </w:tcBorders>
            <w:noWrap w:val="0"/>
            <w:vAlign w:val="center"/>
          </w:tcPr>
          <w:p w14:paraId="39F7BAB5">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初 中</w:t>
            </w:r>
          </w:p>
        </w:tc>
        <w:tc>
          <w:tcPr>
            <w:tcW w:w="1183" w:type="dxa"/>
            <w:tcBorders>
              <w:top w:val="single" w:color="auto" w:sz="8" w:space="0"/>
              <w:left w:val="single" w:color="auto" w:sz="8" w:space="0"/>
              <w:bottom w:val="nil"/>
              <w:right w:val="single" w:color="auto" w:sz="8" w:space="0"/>
            </w:tcBorders>
            <w:noWrap w:val="0"/>
            <w:vAlign w:val="center"/>
          </w:tcPr>
          <w:p w14:paraId="3B551C23">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3881</w:t>
            </w:r>
          </w:p>
        </w:tc>
        <w:tc>
          <w:tcPr>
            <w:tcW w:w="1183" w:type="dxa"/>
            <w:tcBorders>
              <w:top w:val="single" w:color="auto" w:sz="8" w:space="0"/>
              <w:left w:val="single" w:color="auto" w:sz="8" w:space="0"/>
              <w:bottom w:val="nil"/>
              <w:right w:val="single" w:color="auto" w:sz="8" w:space="0"/>
            </w:tcBorders>
            <w:noWrap w:val="0"/>
            <w:vAlign w:val="center"/>
          </w:tcPr>
          <w:p w14:paraId="041EC7A7">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-289</w:t>
            </w:r>
          </w:p>
        </w:tc>
        <w:tc>
          <w:tcPr>
            <w:tcW w:w="1183" w:type="dxa"/>
            <w:tcBorders>
              <w:top w:val="single" w:color="auto" w:sz="8" w:space="0"/>
              <w:left w:val="single" w:color="auto" w:sz="8" w:space="0"/>
              <w:bottom w:val="nil"/>
              <w:right w:val="single" w:color="auto" w:sz="8" w:space="0"/>
            </w:tcBorders>
            <w:noWrap w:val="0"/>
            <w:vAlign w:val="center"/>
          </w:tcPr>
          <w:p w14:paraId="2AC8D864">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12083</w:t>
            </w:r>
          </w:p>
        </w:tc>
        <w:tc>
          <w:tcPr>
            <w:tcW w:w="1183" w:type="dxa"/>
            <w:tcBorders>
              <w:top w:val="single" w:color="auto" w:sz="8" w:space="0"/>
              <w:left w:val="single" w:color="auto" w:sz="8" w:space="0"/>
              <w:bottom w:val="nil"/>
              <w:right w:val="single" w:color="auto" w:sz="8" w:space="0"/>
            </w:tcBorders>
            <w:noWrap w:val="0"/>
            <w:vAlign w:val="center"/>
          </w:tcPr>
          <w:p w14:paraId="79881D78">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-301</w:t>
            </w:r>
          </w:p>
        </w:tc>
        <w:tc>
          <w:tcPr>
            <w:tcW w:w="1183" w:type="dxa"/>
            <w:tcBorders>
              <w:top w:val="single" w:color="auto" w:sz="8" w:space="0"/>
              <w:left w:val="single" w:color="auto" w:sz="8" w:space="0"/>
              <w:bottom w:val="nil"/>
              <w:right w:val="single" w:color="auto" w:sz="8" w:space="0"/>
            </w:tcBorders>
            <w:noWrap w:val="0"/>
            <w:vAlign w:val="center"/>
          </w:tcPr>
          <w:p w14:paraId="0CA8D800">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4060</w:t>
            </w:r>
          </w:p>
        </w:tc>
        <w:tc>
          <w:tcPr>
            <w:tcW w:w="1184" w:type="dxa"/>
            <w:tcBorders>
              <w:top w:val="single" w:color="auto" w:sz="8" w:space="0"/>
              <w:left w:val="single" w:color="auto" w:sz="8" w:space="0"/>
              <w:bottom w:val="nil"/>
            </w:tcBorders>
            <w:noWrap w:val="0"/>
            <w:vAlign w:val="center"/>
          </w:tcPr>
          <w:p w14:paraId="33F2B927">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-97</w:t>
            </w:r>
          </w:p>
        </w:tc>
      </w:tr>
      <w:tr w14:paraId="2FF893F3">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781" w:hRule="atLeast"/>
        </w:trPr>
        <w:tc>
          <w:tcPr>
            <w:tcW w:w="1401" w:type="dxa"/>
            <w:tcBorders>
              <w:top w:val="nil"/>
              <w:bottom w:val="nil"/>
              <w:right w:val="single" w:color="auto" w:sz="8" w:space="0"/>
            </w:tcBorders>
            <w:noWrap w:val="0"/>
            <w:vAlign w:val="center"/>
          </w:tcPr>
          <w:p w14:paraId="7365B05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小 学</w:t>
            </w:r>
          </w:p>
        </w:tc>
        <w:tc>
          <w:tcPr>
            <w:tcW w:w="1183" w:type="dxa"/>
            <w:tcBorders>
              <w:top w:val="nil"/>
              <w:left w:val="single" w:color="auto" w:sz="8" w:space="0"/>
              <w:bottom w:val="nil"/>
              <w:right w:val="single" w:color="auto" w:sz="8" w:space="0"/>
            </w:tcBorders>
            <w:noWrap w:val="0"/>
            <w:vAlign w:val="center"/>
          </w:tcPr>
          <w:p w14:paraId="04237D76">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4185</w:t>
            </w:r>
          </w:p>
        </w:tc>
        <w:tc>
          <w:tcPr>
            <w:tcW w:w="1183" w:type="dxa"/>
            <w:tcBorders>
              <w:top w:val="nil"/>
              <w:left w:val="single" w:color="auto" w:sz="8" w:space="0"/>
              <w:bottom w:val="nil"/>
              <w:right w:val="single" w:color="auto" w:sz="8" w:space="0"/>
            </w:tcBorders>
            <w:noWrap w:val="0"/>
            <w:vAlign w:val="center"/>
          </w:tcPr>
          <w:p w14:paraId="3B9CFD3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-331</w:t>
            </w:r>
          </w:p>
        </w:tc>
        <w:tc>
          <w:tcPr>
            <w:tcW w:w="1183" w:type="dxa"/>
            <w:tcBorders>
              <w:top w:val="nil"/>
              <w:left w:val="single" w:color="auto" w:sz="8" w:space="0"/>
              <w:bottom w:val="nil"/>
              <w:right w:val="single" w:color="auto" w:sz="8" w:space="0"/>
            </w:tcBorders>
            <w:noWrap w:val="0"/>
            <w:vAlign w:val="center"/>
          </w:tcPr>
          <w:p w14:paraId="02162AFF">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25261</w:t>
            </w:r>
          </w:p>
        </w:tc>
        <w:tc>
          <w:tcPr>
            <w:tcW w:w="1183" w:type="dxa"/>
            <w:tcBorders>
              <w:top w:val="nil"/>
              <w:left w:val="single" w:color="auto" w:sz="8" w:space="0"/>
              <w:bottom w:val="nil"/>
              <w:right w:val="single" w:color="auto" w:sz="8" w:space="0"/>
            </w:tcBorders>
            <w:noWrap w:val="0"/>
            <w:vAlign w:val="center"/>
          </w:tcPr>
          <w:p w14:paraId="62B02E64">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208</w:t>
            </w:r>
          </w:p>
        </w:tc>
        <w:tc>
          <w:tcPr>
            <w:tcW w:w="1183" w:type="dxa"/>
            <w:tcBorders>
              <w:top w:val="nil"/>
              <w:left w:val="single" w:color="auto" w:sz="8" w:space="0"/>
              <w:bottom w:val="nil"/>
              <w:right w:val="single" w:color="auto" w:sz="8" w:space="0"/>
            </w:tcBorders>
            <w:noWrap w:val="0"/>
            <w:vAlign w:val="center"/>
          </w:tcPr>
          <w:p w14:paraId="58349DB2">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3662</w:t>
            </w:r>
          </w:p>
        </w:tc>
        <w:tc>
          <w:tcPr>
            <w:tcW w:w="1184" w:type="dxa"/>
            <w:tcBorders>
              <w:top w:val="nil"/>
              <w:left w:val="single" w:color="auto" w:sz="8" w:space="0"/>
              <w:bottom w:val="nil"/>
            </w:tcBorders>
            <w:noWrap w:val="0"/>
            <w:vAlign w:val="center"/>
          </w:tcPr>
          <w:p w14:paraId="409C2B9C">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-286</w:t>
            </w:r>
          </w:p>
        </w:tc>
      </w:tr>
      <w:tr w14:paraId="2209C09E">
        <w:tblPrEx>
          <w:tblBorders>
            <w:top w:val="single" w:color="auto" w:sz="18" w:space="0"/>
            <w:left w:val="none" w:color="auto" w:sz="0" w:space="0"/>
            <w:bottom w:val="single" w:color="auto" w:sz="18" w:space="0"/>
            <w:right w:val="none" w:color="auto" w:sz="0" w:space="0"/>
            <w:insideH w:val="none" w:color="auto" w:sz="0" w:space="0"/>
            <w:insideV w:val="single" w:color="auto" w:sz="12" w:space="0"/>
          </w:tblBorders>
          <w:tblCellMar>
            <w:top w:w="0" w:type="dxa"/>
            <w:left w:w="108" w:type="dxa"/>
            <w:bottom w:w="0" w:type="dxa"/>
            <w:right w:w="108" w:type="dxa"/>
          </w:tblCellMar>
        </w:tblPrEx>
        <w:trPr>
          <w:trHeight w:val="869" w:hRule="atLeast"/>
        </w:trPr>
        <w:tc>
          <w:tcPr>
            <w:tcW w:w="1401" w:type="dxa"/>
            <w:tcBorders>
              <w:top w:val="nil"/>
              <w:bottom w:val="single" w:color="auto" w:sz="12" w:space="0"/>
              <w:right w:val="single" w:color="auto" w:sz="8" w:space="0"/>
            </w:tcBorders>
            <w:noWrap w:val="0"/>
            <w:vAlign w:val="center"/>
          </w:tcPr>
          <w:p w14:paraId="3790055C">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学前教育</w:t>
            </w:r>
          </w:p>
        </w:tc>
        <w:tc>
          <w:tcPr>
            <w:tcW w:w="1183" w:type="dxa"/>
            <w:tcBorders>
              <w:top w:val="nil"/>
              <w:left w:val="single" w:color="auto" w:sz="8" w:space="0"/>
              <w:bottom w:val="single" w:color="auto" w:sz="12" w:space="0"/>
              <w:right w:val="single" w:color="auto" w:sz="8" w:space="0"/>
            </w:tcBorders>
            <w:noWrap w:val="0"/>
            <w:vAlign w:val="center"/>
          </w:tcPr>
          <w:p w14:paraId="3BD30A47">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3667</w:t>
            </w:r>
          </w:p>
        </w:tc>
        <w:tc>
          <w:tcPr>
            <w:tcW w:w="1183" w:type="dxa"/>
            <w:tcBorders>
              <w:top w:val="nil"/>
              <w:left w:val="single" w:color="auto" w:sz="8" w:space="0"/>
              <w:bottom w:val="single" w:color="auto" w:sz="12" w:space="0"/>
              <w:right w:val="single" w:color="auto" w:sz="8" w:space="0"/>
            </w:tcBorders>
            <w:noWrap w:val="0"/>
            <w:vAlign w:val="center"/>
          </w:tcPr>
          <w:p w14:paraId="15B5B608">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567</w:t>
            </w:r>
          </w:p>
        </w:tc>
        <w:tc>
          <w:tcPr>
            <w:tcW w:w="1183" w:type="dxa"/>
            <w:tcBorders>
              <w:top w:val="nil"/>
              <w:left w:val="single" w:color="auto" w:sz="8" w:space="0"/>
              <w:bottom w:val="single" w:color="auto" w:sz="12" w:space="0"/>
              <w:right w:val="single" w:color="auto" w:sz="8" w:space="0"/>
            </w:tcBorders>
            <w:noWrap w:val="0"/>
            <w:vAlign w:val="center"/>
          </w:tcPr>
          <w:p w14:paraId="5E00D82D">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11480</w:t>
            </w:r>
          </w:p>
        </w:tc>
        <w:tc>
          <w:tcPr>
            <w:tcW w:w="1183" w:type="dxa"/>
            <w:tcBorders>
              <w:top w:val="nil"/>
              <w:left w:val="single" w:color="auto" w:sz="8" w:space="0"/>
              <w:bottom w:val="single" w:color="auto" w:sz="12" w:space="0"/>
              <w:right w:val="single" w:color="auto" w:sz="8" w:space="0"/>
            </w:tcBorders>
            <w:noWrap w:val="0"/>
            <w:vAlign w:val="center"/>
          </w:tcPr>
          <w:p w14:paraId="30EA8B3B">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-468</w:t>
            </w:r>
          </w:p>
        </w:tc>
        <w:tc>
          <w:tcPr>
            <w:tcW w:w="1183" w:type="dxa"/>
            <w:tcBorders>
              <w:top w:val="nil"/>
              <w:left w:val="single" w:color="auto" w:sz="8" w:space="0"/>
              <w:bottom w:val="single" w:color="auto" w:sz="12" w:space="0"/>
              <w:right w:val="single" w:color="auto" w:sz="8" w:space="0"/>
            </w:tcBorders>
            <w:noWrap w:val="0"/>
            <w:vAlign w:val="center"/>
          </w:tcPr>
          <w:p w14:paraId="7B7DBA5A">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4594</w:t>
            </w:r>
          </w:p>
        </w:tc>
        <w:tc>
          <w:tcPr>
            <w:tcW w:w="1184" w:type="dxa"/>
            <w:tcBorders>
              <w:top w:val="nil"/>
              <w:left w:val="single" w:color="auto" w:sz="8" w:space="0"/>
              <w:bottom w:val="single" w:color="auto" w:sz="12" w:space="0"/>
            </w:tcBorders>
            <w:noWrap w:val="0"/>
            <w:vAlign w:val="center"/>
          </w:tcPr>
          <w:p w14:paraId="52B6CA31">
            <w:pPr>
              <w:keepNext w:val="0"/>
              <w:keepLines w:val="0"/>
              <w:pageBreakBefore w:val="0"/>
              <w:widowControl/>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333333"/>
                <w:kern w:val="0"/>
                <w:sz w:val="24"/>
                <w:szCs w:val="24"/>
                <w:shd w:val="clear" w:color="auto"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val="en-US" w:eastAsia="zh-CN" w:bidi="ar"/>
              </w:rPr>
              <w:t>-68</w:t>
            </w:r>
          </w:p>
        </w:tc>
      </w:tr>
    </w:tbl>
    <w:p w14:paraId="2B8B9B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有气象台站</w:t>
      </w:r>
      <w:r>
        <w:rPr>
          <w:rFonts w:hint="eastAsia" w:asciiTheme="minorEastAsia" w:hAnsiTheme="minorEastAsia" w:eastAsiaTheme="minorEastAsia" w:cstheme="minorEastAsia"/>
          <w:color w:val="333333"/>
          <w:sz w:val="24"/>
          <w:szCs w:val="24"/>
          <w:shd w:val="clear" w:fill="FFFFFF"/>
          <w:lang w:val="en-US" w:eastAsia="zh-CN"/>
        </w:rPr>
        <w:t>1</w:t>
      </w:r>
      <w:r>
        <w:rPr>
          <w:rFonts w:hint="eastAsia" w:asciiTheme="minorEastAsia" w:hAnsiTheme="minorEastAsia" w:eastAsiaTheme="minorEastAsia" w:cstheme="minorEastAsia"/>
          <w:color w:val="333333"/>
          <w:sz w:val="24"/>
          <w:szCs w:val="24"/>
          <w:shd w:val="clear" w:fill="FFFFFF"/>
        </w:rPr>
        <w:t>个，全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开展电话天气自动答询的台站1个。全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气象系统开展人工影响天气业务的单位</w:t>
      </w:r>
      <w:r>
        <w:rPr>
          <w:rFonts w:hint="eastAsia" w:asciiTheme="minorEastAsia" w:hAnsiTheme="minorEastAsia" w:eastAsiaTheme="minorEastAsia" w:cstheme="minorEastAsia"/>
          <w:color w:val="333333"/>
          <w:sz w:val="24"/>
          <w:szCs w:val="24"/>
          <w:shd w:val="clear" w:fill="FFFFFF"/>
          <w:lang w:val="en-US" w:eastAsia="zh-CN"/>
        </w:rPr>
        <w:t xml:space="preserve"> 1</w:t>
      </w:r>
      <w:r>
        <w:rPr>
          <w:rFonts w:hint="eastAsia" w:asciiTheme="minorEastAsia" w:hAnsiTheme="minorEastAsia" w:eastAsiaTheme="minorEastAsia" w:cstheme="minorEastAsia"/>
          <w:color w:val="333333"/>
          <w:sz w:val="24"/>
          <w:szCs w:val="24"/>
          <w:shd w:val="clear" w:fill="FFFFFF"/>
        </w:rPr>
        <w:t>个，卫星云图接收站</w:t>
      </w:r>
      <w:r>
        <w:rPr>
          <w:rFonts w:hint="eastAsia" w:asciiTheme="minorEastAsia" w:hAnsiTheme="minorEastAsia" w:eastAsiaTheme="minorEastAsia" w:cstheme="minorEastAsia"/>
          <w:color w:val="333333"/>
          <w:sz w:val="24"/>
          <w:szCs w:val="24"/>
          <w:shd w:val="clear" w:fill="FFFFFF"/>
          <w:lang w:val="en-US" w:eastAsia="zh-CN"/>
        </w:rPr>
        <w:t>1</w:t>
      </w:r>
      <w:r>
        <w:rPr>
          <w:rFonts w:hint="eastAsia" w:asciiTheme="minorEastAsia" w:hAnsiTheme="minorEastAsia" w:eastAsiaTheme="minorEastAsia" w:cstheme="minorEastAsia"/>
          <w:color w:val="333333"/>
          <w:sz w:val="24"/>
          <w:szCs w:val="24"/>
          <w:shd w:val="clear" w:fill="FFFFFF"/>
        </w:rPr>
        <w:t xml:space="preserve">个。 </w:t>
      </w:r>
    </w:p>
    <w:p w14:paraId="2A25EC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有专业综合地震台站2个，</w:t>
      </w:r>
      <w:r>
        <w:rPr>
          <w:rFonts w:hint="eastAsia" w:asciiTheme="minorEastAsia" w:hAnsiTheme="minorEastAsia" w:eastAsiaTheme="minorEastAsia" w:cstheme="minorEastAsia"/>
          <w:color w:val="333333"/>
          <w:sz w:val="24"/>
          <w:szCs w:val="24"/>
          <w:shd w:val="clear" w:fill="FFFFFF"/>
          <w:lang w:eastAsia="zh-CN"/>
        </w:rPr>
        <w:t>县</w:t>
      </w:r>
      <w:r>
        <w:rPr>
          <w:rFonts w:hint="eastAsia" w:asciiTheme="minorEastAsia" w:hAnsiTheme="minorEastAsia" w:eastAsiaTheme="minorEastAsia" w:cstheme="minorEastAsia"/>
          <w:color w:val="333333"/>
          <w:sz w:val="24"/>
          <w:szCs w:val="24"/>
          <w:shd w:val="clear" w:fill="FFFFFF"/>
        </w:rPr>
        <w:t>级地震台网中心1个。全年M3.0—M3.9级地震0次，M4.0—M4.9级地震0次，最大震级M2.8级。</w:t>
      </w:r>
    </w:p>
    <w:p w14:paraId="3B0EAD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rPr>
        <w:t xml:space="preserve">十、文化、卫生和体育 </w:t>
      </w:r>
    </w:p>
    <w:p w14:paraId="47FC5C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年末全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共有群众艺术馆1个，文化馆</w:t>
      </w:r>
      <w:r>
        <w:rPr>
          <w:rFonts w:hint="eastAsia" w:asciiTheme="minorEastAsia" w:hAnsiTheme="minorEastAsia" w:eastAsiaTheme="minorEastAsia" w:cstheme="minorEastAsia"/>
          <w:color w:val="333333"/>
          <w:sz w:val="24"/>
          <w:szCs w:val="24"/>
          <w:shd w:val="clear" w:fill="FFFFFF"/>
          <w:lang w:val="en-US" w:eastAsia="zh-CN"/>
        </w:rPr>
        <w:t xml:space="preserve"> 1</w:t>
      </w:r>
      <w:r>
        <w:rPr>
          <w:rFonts w:hint="eastAsia" w:asciiTheme="minorEastAsia" w:hAnsiTheme="minorEastAsia" w:eastAsiaTheme="minorEastAsia" w:cstheme="minorEastAsia"/>
          <w:color w:val="333333"/>
          <w:sz w:val="24"/>
          <w:szCs w:val="24"/>
          <w:shd w:val="clear" w:fill="FFFFFF"/>
        </w:rPr>
        <w:t>个, 文化站</w:t>
      </w:r>
      <w:r>
        <w:rPr>
          <w:rFonts w:hint="eastAsia" w:asciiTheme="minorEastAsia" w:hAnsiTheme="minorEastAsia" w:eastAsiaTheme="minorEastAsia" w:cstheme="minorEastAsia"/>
          <w:color w:val="333333"/>
          <w:sz w:val="24"/>
          <w:szCs w:val="24"/>
          <w:shd w:val="clear" w:fill="FFFFFF"/>
          <w:lang w:val="en-US" w:eastAsia="zh-CN"/>
        </w:rPr>
        <w:t>15</w:t>
      </w:r>
      <w:r>
        <w:rPr>
          <w:rFonts w:hint="eastAsia" w:asciiTheme="minorEastAsia" w:hAnsiTheme="minorEastAsia" w:eastAsiaTheme="minorEastAsia" w:cstheme="minorEastAsia"/>
          <w:color w:val="333333"/>
          <w:sz w:val="24"/>
          <w:szCs w:val="24"/>
          <w:shd w:val="clear" w:fill="FFFFFF"/>
        </w:rPr>
        <w:t>个（其中：乡镇综合文化站</w:t>
      </w:r>
      <w:r>
        <w:rPr>
          <w:rFonts w:hint="eastAsia" w:asciiTheme="minorEastAsia" w:hAnsiTheme="minorEastAsia" w:eastAsiaTheme="minorEastAsia" w:cstheme="minorEastAsia"/>
          <w:color w:val="333333"/>
          <w:sz w:val="24"/>
          <w:szCs w:val="24"/>
          <w:shd w:val="clear" w:fill="FFFFFF"/>
          <w:lang w:val="en-US" w:eastAsia="zh-CN"/>
        </w:rPr>
        <w:t>15</w:t>
      </w:r>
      <w:r>
        <w:rPr>
          <w:rFonts w:hint="eastAsia" w:asciiTheme="minorEastAsia" w:hAnsiTheme="minorEastAsia" w:eastAsiaTheme="minorEastAsia" w:cstheme="minorEastAsia"/>
          <w:color w:val="333333"/>
          <w:sz w:val="24"/>
          <w:szCs w:val="24"/>
          <w:shd w:val="clear" w:fill="FFFFFF"/>
        </w:rPr>
        <w:t>个），农村文化活动场所</w:t>
      </w:r>
      <w:r>
        <w:rPr>
          <w:rFonts w:hint="eastAsia" w:asciiTheme="minorEastAsia" w:hAnsiTheme="minorEastAsia" w:eastAsiaTheme="minorEastAsia" w:cstheme="minorEastAsia"/>
          <w:color w:val="333333"/>
          <w:sz w:val="24"/>
          <w:szCs w:val="24"/>
          <w:shd w:val="clear" w:fill="FFFFFF"/>
          <w:lang w:val="en-US" w:eastAsia="zh-CN"/>
        </w:rPr>
        <w:t xml:space="preserve">242 </w:t>
      </w:r>
      <w:r>
        <w:rPr>
          <w:rFonts w:hint="eastAsia" w:asciiTheme="minorEastAsia" w:hAnsiTheme="minorEastAsia" w:eastAsiaTheme="minorEastAsia" w:cstheme="minorEastAsia"/>
          <w:color w:val="333333"/>
          <w:sz w:val="24"/>
          <w:szCs w:val="24"/>
          <w:shd w:val="clear" w:fill="FFFFFF"/>
        </w:rPr>
        <w:t>个。全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共有专业艺术表演团体</w:t>
      </w:r>
      <w:r>
        <w:rPr>
          <w:rFonts w:hint="eastAsia" w:asciiTheme="minorEastAsia" w:hAnsiTheme="minorEastAsia" w:eastAsiaTheme="minorEastAsia" w:cstheme="minorEastAsia"/>
          <w:color w:val="333333"/>
          <w:sz w:val="24"/>
          <w:szCs w:val="24"/>
          <w:shd w:val="clear" w:fill="FFFFFF"/>
          <w:lang w:val="en-US" w:eastAsia="zh-CN"/>
        </w:rPr>
        <w:t>1</w:t>
      </w:r>
      <w:r>
        <w:rPr>
          <w:rFonts w:hint="eastAsia" w:asciiTheme="minorEastAsia" w:hAnsiTheme="minorEastAsia" w:eastAsiaTheme="minorEastAsia" w:cstheme="minorEastAsia"/>
          <w:color w:val="333333"/>
          <w:sz w:val="24"/>
          <w:szCs w:val="24"/>
          <w:shd w:val="clear" w:fill="FFFFFF"/>
        </w:rPr>
        <w:t>个。全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有公共图书馆1个。年末全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共有广播电视台</w:t>
      </w:r>
      <w:r>
        <w:rPr>
          <w:rFonts w:hint="eastAsia" w:asciiTheme="minorEastAsia" w:hAnsiTheme="minorEastAsia" w:eastAsiaTheme="minorEastAsia" w:cstheme="minorEastAsia"/>
          <w:color w:val="333333"/>
          <w:sz w:val="24"/>
          <w:szCs w:val="24"/>
          <w:shd w:val="clear" w:fill="FFFFFF"/>
          <w:lang w:val="en-US" w:eastAsia="zh-CN"/>
        </w:rPr>
        <w:t>1</w:t>
      </w:r>
      <w:r>
        <w:rPr>
          <w:rFonts w:hint="eastAsia" w:asciiTheme="minorEastAsia" w:hAnsiTheme="minorEastAsia" w:eastAsiaTheme="minorEastAsia" w:cstheme="minorEastAsia"/>
          <w:color w:val="333333"/>
          <w:sz w:val="24"/>
          <w:szCs w:val="24"/>
          <w:shd w:val="clear" w:fill="FFFFFF"/>
        </w:rPr>
        <w:t>座，电视台</w:t>
      </w:r>
      <w:r>
        <w:rPr>
          <w:rFonts w:hint="eastAsia" w:asciiTheme="minorEastAsia" w:hAnsiTheme="minorEastAsia" w:eastAsiaTheme="minorEastAsia" w:cstheme="minorEastAsia"/>
          <w:color w:val="333333"/>
          <w:sz w:val="24"/>
          <w:szCs w:val="24"/>
          <w:shd w:val="clear" w:fill="FFFFFF"/>
          <w:lang w:val="en-US" w:eastAsia="zh-CN"/>
        </w:rPr>
        <w:t>1</w:t>
      </w:r>
      <w:r>
        <w:rPr>
          <w:rFonts w:hint="eastAsia" w:asciiTheme="minorEastAsia" w:hAnsiTheme="minorEastAsia" w:eastAsiaTheme="minorEastAsia" w:cstheme="minorEastAsia"/>
          <w:color w:val="333333"/>
          <w:sz w:val="24"/>
          <w:szCs w:val="24"/>
          <w:shd w:val="clear" w:fill="FFFFFF"/>
        </w:rPr>
        <w:t>座，调频转播发射台</w:t>
      </w:r>
      <w:r>
        <w:rPr>
          <w:rFonts w:hint="eastAsia" w:asciiTheme="minorEastAsia" w:hAnsiTheme="minorEastAsia" w:eastAsiaTheme="minorEastAsia" w:cstheme="minorEastAsia"/>
          <w:color w:val="333333"/>
          <w:sz w:val="24"/>
          <w:szCs w:val="24"/>
          <w:shd w:val="clear" w:fill="FFFFFF"/>
          <w:lang w:val="en-US" w:eastAsia="zh-CN"/>
        </w:rPr>
        <w:t>1</w:t>
      </w:r>
      <w:r>
        <w:rPr>
          <w:rFonts w:hint="eastAsia" w:asciiTheme="minorEastAsia" w:hAnsiTheme="minorEastAsia" w:eastAsiaTheme="minorEastAsia" w:cstheme="minorEastAsia"/>
          <w:color w:val="333333"/>
          <w:sz w:val="24"/>
          <w:szCs w:val="24"/>
          <w:shd w:val="clear" w:fill="FFFFFF"/>
        </w:rPr>
        <w:t>座，一百瓦以上电视转播发射台</w:t>
      </w:r>
      <w:r>
        <w:rPr>
          <w:rFonts w:hint="eastAsia" w:asciiTheme="minorEastAsia" w:hAnsiTheme="minorEastAsia" w:eastAsiaTheme="minorEastAsia" w:cstheme="minorEastAsia"/>
          <w:color w:val="333333"/>
          <w:sz w:val="24"/>
          <w:szCs w:val="24"/>
          <w:shd w:val="clear" w:fill="FFFFFF"/>
          <w:lang w:val="en-US" w:eastAsia="zh-CN"/>
        </w:rPr>
        <w:t>4</w:t>
      </w:r>
      <w:r>
        <w:rPr>
          <w:rFonts w:hint="eastAsia" w:asciiTheme="minorEastAsia" w:hAnsiTheme="minorEastAsia" w:eastAsiaTheme="minorEastAsia" w:cstheme="minorEastAsia"/>
          <w:color w:val="333333"/>
          <w:sz w:val="24"/>
          <w:szCs w:val="24"/>
          <w:shd w:val="clear" w:fill="FFFFFF"/>
        </w:rPr>
        <w:t>座。广播人口覆盖率</w:t>
      </w:r>
      <w:r>
        <w:rPr>
          <w:rFonts w:hint="eastAsia" w:asciiTheme="minorEastAsia" w:hAnsiTheme="minorEastAsia" w:eastAsiaTheme="minorEastAsia" w:cstheme="minorEastAsia"/>
          <w:color w:val="333333"/>
          <w:sz w:val="24"/>
          <w:szCs w:val="24"/>
          <w:shd w:val="clear" w:fill="FFFFFF"/>
          <w:lang w:val="en-US" w:eastAsia="zh-CN"/>
        </w:rPr>
        <w:t>95.14</w:t>
      </w:r>
      <w:r>
        <w:rPr>
          <w:rFonts w:hint="eastAsia" w:asciiTheme="minorEastAsia" w:hAnsiTheme="minorEastAsia" w:eastAsiaTheme="minorEastAsia" w:cstheme="minorEastAsia"/>
          <w:color w:val="333333"/>
          <w:sz w:val="24"/>
          <w:szCs w:val="24"/>
          <w:shd w:val="clear" w:fill="FFFFFF"/>
        </w:rPr>
        <w:t>%，电视人口覆盖率</w:t>
      </w:r>
      <w:r>
        <w:rPr>
          <w:rFonts w:hint="eastAsia" w:asciiTheme="minorEastAsia" w:hAnsiTheme="minorEastAsia" w:eastAsiaTheme="minorEastAsia" w:cstheme="minorEastAsia"/>
          <w:color w:val="333333"/>
          <w:sz w:val="24"/>
          <w:szCs w:val="24"/>
          <w:shd w:val="clear" w:fill="FFFFFF"/>
          <w:lang w:val="en-US" w:eastAsia="zh-CN"/>
        </w:rPr>
        <w:t>98.99</w:t>
      </w:r>
      <w:r>
        <w:rPr>
          <w:rFonts w:hint="eastAsia" w:asciiTheme="minorEastAsia" w:hAnsiTheme="minorEastAsia" w:eastAsiaTheme="minorEastAsia" w:cstheme="minorEastAsia"/>
          <w:color w:val="333333"/>
          <w:sz w:val="24"/>
          <w:szCs w:val="24"/>
          <w:shd w:val="clear" w:fill="FFFFFF"/>
        </w:rPr>
        <w:t>%，有线电视用户</w:t>
      </w:r>
      <w:r>
        <w:rPr>
          <w:rFonts w:hint="eastAsia" w:asciiTheme="minorEastAsia" w:hAnsiTheme="minorEastAsia" w:eastAsiaTheme="minorEastAsia" w:cstheme="minorEastAsia"/>
          <w:color w:val="333333"/>
          <w:sz w:val="24"/>
          <w:szCs w:val="24"/>
          <w:shd w:val="clear" w:fill="FFFFFF"/>
          <w:lang w:val="en-US" w:eastAsia="zh-CN"/>
        </w:rPr>
        <w:t>4.9</w:t>
      </w:r>
      <w:r>
        <w:rPr>
          <w:rFonts w:hint="eastAsia" w:asciiTheme="minorEastAsia" w:hAnsiTheme="minorEastAsia" w:eastAsiaTheme="minorEastAsia" w:cstheme="minorEastAsia"/>
          <w:color w:val="333333"/>
          <w:sz w:val="24"/>
          <w:szCs w:val="24"/>
          <w:shd w:val="clear" w:fill="FFFFFF"/>
        </w:rPr>
        <w:t xml:space="preserve">万户。 </w:t>
      </w:r>
    </w:p>
    <w:p w14:paraId="17E61CA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shd w:val="clear" w:fill="FFFFFF"/>
          <w:lang w:val="en-US" w:eastAsia="zh-CN" w:bidi="ar"/>
        </w:rPr>
        <w:t>年末全县共有医疗卫生机构(含诊所、村卫生室)330个，床位1270张，其中：公立医疗卫生机构28个，卫生防疫、防治机构1个，妇幼计生服务中心1个。全县公立医疗卫生机构共有卫生专业技术人员879人，其中：卫生院卫生专业技术员267人；防疫、防治卫生专业技术员30人，妇幼计生服务中心卫生专业技术人员61人。全</w:t>
      </w:r>
      <w:r>
        <w:rPr>
          <w:rFonts w:hint="eastAsia" w:asciiTheme="minorEastAsia" w:hAnsiTheme="minorEastAsia" w:eastAsiaTheme="minorEastAsia" w:cstheme="minorEastAsia"/>
          <w:color w:val="auto"/>
          <w:sz w:val="24"/>
          <w:szCs w:val="24"/>
          <w:shd w:val="clear" w:fill="FFFFFF"/>
          <w:lang w:val="en-US" w:eastAsia="zh-CN"/>
        </w:rPr>
        <w:t>县</w:t>
      </w:r>
      <w:r>
        <w:rPr>
          <w:rFonts w:hint="eastAsia" w:asciiTheme="minorEastAsia" w:hAnsiTheme="minorEastAsia" w:eastAsiaTheme="minorEastAsia" w:cstheme="minorEastAsia"/>
          <w:color w:val="auto"/>
          <w:sz w:val="24"/>
          <w:szCs w:val="24"/>
          <w:shd w:val="clear" w:fill="FFFFFF"/>
        </w:rPr>
        <w:t>1</w:t>
      </w:r>
      <w:r>
        <w:rPr>
          <w:rFonts w:hint="eastAsia" w:asciiTheme="minorEastAsia" w:hAnsiTheme="minorEastAsia" w:eastAsiaTheme="minorEastAsia" w:cstheme="minorEastAsia"/>
          <w:color w:val="auto"/>
          <w:sz w:val="24"/>
          <w:szCs w:val="24"/>
          <w:shd w:val="clear" w:fill="FFFFFF"/>
          <w:lang w:val="en-US" w:eastAsia="zh-CN"/>
        </w:rPr>
        <w:t>5</w:t>
      </w:r>
      <w:r>
        <w:rPr>
          <w:rFonts w:hint="eastAsia" w:asciiTheme="minorEastAsia" w:hAnsiTheme="minorEastAsia" w:eastAsiaTheme="minorEastAsia" w:cstheme="minorEastAsia"/>
          <w:color w:val="auto"/>
          <w:sz w:val="24"/>
          <w:szCs w:val="24"/>
          <w:shd w:val="clear" w:fill="FFFFFF"/>
        </w:rPr>
        <w:t>个</w:t>
      </w:r>
      <w:r>
        <w:rPr>
          <w:rFonts w:hint="eastAsia" w:asciiTheme="minorEastAsia" w:hAnsiTheme="minorEastAsia" w:eastAsiaTheme="minorEastAsia" w:cstheme="minorEastAsia"/>
          <w:color w:val="auto"/>
          <w:sz w:val="24"/>
          <w:szCs w:val="24"/>
          <w:shd w:val="clear" w:fill="FFFFFF"/>
          <w:lang w:val="en-US" w:eastAsia="zh-CN"/>
        </w:rPr>
        <w:t>乡</w:t>
      </w:r>
      <w:r>
        <w:rPr>
          <w:rFonts w:hint="eastAsia" w:asciiTheme="minorEastAsia" w:hAnsiTheme="minorEastAsia" w:eastAsiaTheme="minorEastAsia" w:cstheme="minorEastAsia"/>
          <w:color w:val="auto"/>
          <w:sz w:val="24"/>
          <w:szCs w:val="24"/>
          <w:shd w:val="clear" w:fill="FFFFFF"/>
        </w:rPr>
        <w:t>（</w:t>
      </w:r>
      <w:r>
        <w:rPr>
          <w:rFonts w:hint="eastAsia" w:asciiTheme="minorEastAsia" w:hAnsiTheme="minorEastAsia" w:eastAsiaTheme="minorEastAsia" w:cstheme="minorEastAsia"/>
          <w:color w:val="auto"/>
          <w:sz w:val="24"/>
          <w:szCs w:val="24"/>
          <w:shd w:val="clear" w:fill="FFFFFF"/>
          <w:lang w:val="en-US" w:eastAsia="zh-CN"/>
        </w:rPr>
        <w:t>镇</w:t>
      </w:r>
      <w:r>
        <w:rPr>
          <w:rFonts w:hint="eastAsia" w:asciiTheme="minorEastAsia" w:hAnsiTheme="minorEastAsia" w:eastAsiaTheme="minorEastAsia" w:cstheme="minorEastAsia"/>
          <w:color w:val="auto"/>
          <w:sz w:val="24"/>
          <w:szCs w:val="24"/>
          <w:shd w:val="clear" w:fill="FFFFFF"/>
        </w:rPr>
        <w:t xml:space="preserve">）开展了新型农村合作医疗工作。 </w:t>
      </w:r>
    </w:p>
    <w:p w14:paraId="4FAEE4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2019年全</w:t>
      </w:r>
      <w:r>
        <w:rPr>
          <w:rFonts w:hint="eastAsia" w:asciiTheme="minorEastAsia" w:hAnsiTheme="minorEastAsia" w:eastAsiaTheme="minorEastAsia" w:cstheme="minorEastAsia"/>
          <w:color w:val="333333"/>
          <w:sz w:val="24"/>
          <w:szCs w:val="24"/>
          <w:shd w:val="clear" w:fill="FFFFFF"/>
          <w:lang w:val="en-US" w:eastAsia="zh-CN"/>
        </w:rPr>
        <w:t>县</w:t>
      </w:r>
      <w:r>
        <w:rPr>
          <w:rFonts w:hint="eastAsia" w:asciiTheme="minorEastAsia" w:hAnsiTheme="minorEastAsia" w:eastAsiaTheme="minorEastAsia" w:cstheme="minorEastAsia"/>
          <w:color w:val="333333"/>
          <w:sz w:val="24"/>
          <w:szCs w:val="24"/>
          <w:shd w:val="clear" w:fill="FFFFFF"/>
        </w:rPr>
        <w:t>有体育场</w:t>
      </w:r>
      <w:r>
        <w:rPr>
          <w:rFonts w:hint="eastAsia" w:asciiTheme="minorEastAsia" w:hAnsiTheme="minorEastAsia" w:eastAsiaTheme="minorEastAsia" w:cstheme="minorEastAsia"/>
          <w:color w:val="333333"/>
          <w:sz w:val="24"/>
          <w:szCs w:val="24"/>
          <w:shd w:val="clear" w:fill="FFFFFF"/>
          <w:lang w:val="en-US" w:eastAsia="zh-CN"/>
        </w:rPr>
        <w:t>1</w:t>
      </w:r>
      <w:r>
        <w:rPr>
          <w:rFonts w:hint="eastAsia" w:asciiTheme="minorEastAsia" w:hAnsiTheme="minorEastAsia" w:eastAsiaTheme="minorEastAsia" w:cstheme="minorEastAsia"/>
          <w:color w:val="333333"/>
          <w:sz w:val="24"/>
          <w:szCs w:val="24"/>
          <w:shd w:val="clear" w:fill="FFFFFF"/>
        </w:rPr>
        <w:t>个。</w:t>
      </w:r>
    </w:p>
    <w:p w14:paraId="1E7B4B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88" w:beforeLines="60" w:beforeAutospacing="0" w:after="0" w:afterAutospacing="0" w:line="360" w:lineRule="auto"/>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sz w:val="24"/>
          <w:szCs w:val="24"/>
          <w:shd w:val="clear" w:fill="FFFFFF"/>
        </w:rPr>
        <w:t>十</w:t>
      </w:r>
      <w:r>
        <w:rPr>
          <w:rFonts w:hint="eastAsia" w:asciiTheme="minorEastAsia" w:hAnsiTheme="minorEastAsia" w:eastAsiaTheme="minorEastAsia" w:cstheme="minorEastAsia"/>
          <w:b/>
          <w:bCs/>
          <w:color w:val="333333"/>
          <w:sz w:val="24"/>
          <w:szCs w:val="24"/>
          <w:shd w:val="clear" w:fill="FFFFFF"/>
          <w:lang w:eastAsia="zh-CN"/>
        </w:rPr>
        <w:t>一</w:t>
      </w:r>
      <w:r>
        <w:rPr>
          <w:rFonts w:hint="eastAsia" w:asciiTheme="minorEastAsia" w:hAnsiTheme="minorEastAsia" w:eastAsiaTheme="minorEastAsia" w:cstheme="minorEastAsia"/>
          <w:b/>
          <w:bCs/>
          <w:color w:val="333333"/>
          <w:sz w:val="24"/>
          <w:szCs w:val="24"/>
          <w:shd w:val="clear" w:fill="FFFFFF"/>
        </w:rPr>
        <w:t>、人民生活和社会保障</w:t>
      </w:r>
    </w:p>
    <w:p w14:paraId="254139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333333"/>
          <w:sz w:val="24"/>
          <w:szCs w:val="24"/>
          <w:shd w:val="clear" w:fill="FFFFFF"/>
        </w:rPr>
      </w:pPr>
      <w:r>
        <w:rPr>
          <w:rFonts w:hint="eastAsia" w:asciiTheme="minorEastAsia" w:hAnsiTheme="minorEastAsia" w:eastAsiaTheme="minorEastAsia" w:cstheme="minorEastAsia"/>
          <w:color w:val="333333"/>
          <w:sz w:val="24"/>
          <w:szCs w:val="24"/>
          <w:shd w:val="clear" w:fill="FFFFFF"/>
        </w:rPr>
        <w:t>全年居民人均可支配收入</w:t>
      </w:r>
      <w:r>
        <w:rPr>
          <w:rFonts w:hint="eastAsia" w:asciiTheme="minorEastAsia" w:hAnsiTheme="minorEastAsia" w:eastAsiaTheme="minorEastAsia" w:cstheme="minorEastAsia"/>
          <w:color w:val="333333"/>
          <w:sz w:val="24"/>
          <w:szCs w:val="24"/>
          <w:shd w:val="clear" w:fill="FFFFFF"/>
          <w:lang w:val="en-US" w:eastAsia="zh-CN"/>
        </w:rPr>
        <w:t>20892</w:t>
      </w:r>
      <w:r>
        <w:rPr>
          <w:rFonts w:hint="eastAsia" w:asciiTheme="minorEastAsia" w:hAnsiTheme="minorEastAsia" w:eastAsiaTheme="minorEastAsia" w:cstheme="minorEastAsia"/>
          <w:color w:val="333333"/>
          <w:sz w:val="24"/>
          <w:szCs w:val="24"/>
          <w:shd w:val="clear" w:fill="FFFFFF"/>
        </w:rPr>
        <w:t>元，同比增长</w:t>
      </w:r>
      <w:r>
        <w:rPr>
          <w:rFonts w:hint="eastAsia" w:asciiTheme="minorEastAsia" w:hAnsiTheme="minorEastAsia" w:eastAsiaTheme="minorEastAsia" w:cstheme="minorEastAsia"/>
          <w:color w:val="333333"/>
          <w:sz w:val="24"/>
          <w:szCs w:val="24"/>
          <w:shd w:val="clear" w:fill="FFFFFF"/>
          <w:lang w:val="en-US" w:eastAsia="zh-CN"/>
        </w:rPr>
        <w:t>8.9</w:t>
      </w:r>
      <w:r>
        <w:rPr>
          <w:rFonts w:hint="eastAsia" w:asciiTheme="minorEastAsia" w:hAnsiTheme="minorEastAsia" w:eastAsiaTheme="minorEastAsia" w:cstheme="minorEastAsia"/>
          <w:color w:val="333333"/>
          <w:sz w:val="24"/>
          <w:szCs w:val="24"/>
          <w:shd w:val="clear" w:fill="FFFFFF"/>
        </w:rPr>
        <w:t>%。按常住地分，城镇居民人均可支配收入</w:t>
      </w:r>
      <w:r>
        <w:rPr>
          <w:rFonts w:hint="eastAsia" w:asciiTheme="minorEastAsia" w:hAnsiTheme="minorEastAsia" w:eastAsiaTheme="minorEastAsia" w:cstheme="minorEastAsia"/>
          <w:color w:val="333333"/>
          <w:sz w:val="24"/>
          <w:szCs w:val="24"/>
          <w:shd w:val="clear" w:fill="FFFFFF"/>
          <w:lang w:val="en-US" w:eastAsia="zh-CN"/>
        </w:rPr>
        <w:t>3368</w:t>
      </w:r>
      <w:r>
        <w:rPr>
          <w:rFonts w:hint="eastAsia" w:asciiTheme="minorEastAsia" w:hAnsiTheme="minorEastAsia" w:eastAsiaTheme="minorEastAsia" w:cstheme="minorEastAsia"/>
          <w:color w:val="333333"/>
          <w:sz w:val="24"/>
          <w:szCs w:val="24"/>
          <w:shd w:val="clear" w:fill="FFFFFF"/>
        </w:rPr>
        <w:t>元，同比增长</w:t>
      </w:r>
      <w:r>
        <w:rPr>
          <w:rFonts w:hint="eastAsia" w:asciiTheme="minorEastAsia" w:hAnsiTheme="minorEastAsia" w:eastAsiaTheme="minorEastAsia" w:cstheme="minorEastAsia"/>
          <w:color w:val="333333"/>
          <w:sz w:val="24"/>
          <w:szCs w:val="24"/>
          <w:shd w:val="clear" w:fill="FFFFFF"/>
          <w:lang w:val="en-US" w:eastAsia="zh-CN"/>
        </w:rPr>
        <w:t xml:space="preserve">6.0 </w:t>
      </w:r>
      <w:r>
        <w:rPr>
          <w:rFonts w:hint="eastAsia" w:asciiTheme="minorEastAsia" w:hAnsiTheme="minorEastAsia" w:eastAsiaTheme="minorEastAsia" w:cstheme="minorEastAsia"/>
          <w:color w:val="333333"/>
          <w:sz w:val="24"/>
          <w:szCs w:val="24"/>
          <w:shd w:val="clear" w:fill="FFFFFF"/>
        </w:rPr>
        <w:t>%，城镇居民人均消费支出</w:t>
      </w:r>
      <w:r>
        <w:rPr>
          <w:rFonts w:hint="eastAsia" w:asciiTheme="minorEastAsia" w:hAnsiTheme="minorEastAsia" w:eastAsiaTheme="minorEastAsia" w:cstheme="minorEastAsia"/>
          <w:color w:val="333333"/>
          <w:sz w:val="24"/>
          <w:szCs w:val="24"/>
          <w:shd w:val="clear" w:fill="FFFFFF"/>
          <w:lang w:val="en-US" w:eastAsia="zh-CN"/>
        </w:rPr>
        <w:t xml:space="preserve"> 18241</w:t>
      </w:r>
      <w:r>
        <w:rPr>
          <w:rFonts w:hint="eastAsia" w:asciiTheme="minorEastAsia" w:hAnsiTheme="minorEastAsia" w:eastAsiaTheme="minorEastAsia" w:cstheme="minorEastAsia"/>
          <w:color w:val="333333"/>
          <w:sz w:val="24"/>
          <w:szCs w:val="24"/>
          <w:shd w:val="clear" w:fill="FFFFFF"/>
        </w:rPr>
        <w:t>元，同比增长</w:t>
      </w:r>
      <w:r>
        <w:rPr>
          <w:rFonts w:hint="eastAsia" w:asciiTheme="minorEastAsia" w:hAnsiTheme="minorEastAsia" w:eastAsiaTheme="minorEastAsia" w:cstheme="minorEastAsia"/>
          <w:color w:val="333333"/>
          <w:sz w:val="24"/>
          <w:szCs w:val="24"/>
          <w:shd w:val="clear" w:fill="FFFFFF"/>
          <w:lang w:val="en-US" w:eastAsia="zh-CN"/>
        </w:rPr>
        <w:t>13.1</w:t>
      </w:r>
      <w:r>
        <w:rPr>
          <w:rFonts w:hint="eastAsia" w:asciiTheme="minorEastAsia" w:hAnsiTheme="minorEastAsia" w:eastAsiaTheme="minorEastAsia" w:cstheme="minorEastAsia"/>
          <w:color w:val="333333"/>
          <w:sz w:val="24"/>
          <w:szCs w:val="24"/>
          <w:shd w:val="clear" w:fill="FFFFFF"/>
        </w:rPr>
        <w:t>%；农村居民人均可支配收入</w:t>
      </w:r>
      <w:r>
        <w:rPr>
          <w:rFonts w:hint="eastAsia" w:asciiTheme="minorEastAsia" w:hAnsiTheme="minorEastAsia" w:eastAsiaTheme="minorEastAsia" w:cstheme="minorEastAsia"/>
          <w:color w:val="333333"/>
          <w:sz w:val="24"/>
          <w:szCs w:val="24"/>
          <w:shd w:val="clear" w:fill="FFFFFF"/>
          <w:lang w:val="en-US" w:eastAsia="zh-CN"/>
        </w:rPr>
        <w:t>13317</w:t>
      </w:r>
      <w:r>
        <w:rPr>
          <w:rFonts w:hint="eastAsia" w:asciiTheme="minorEastAsia" w:hAnsiTheme="minorEastAsia" w:eastAsiaTheme="minorEastAsia" w:cstheme="minorEastAsia"/>
          <w:color w:val="333333"/>
          <w:sz w:val="24"/>
          <w:szCs w:val="24"/>
          <w:shd w:val="clear" w:fill="FFFFFF"/>
        </w:rPr>
        <w:t>元，同比增长</w:t>
      </w:r>
      <w:r>
        <w:rPr>
          <w:rFonts w:hint="eastAsia" w:asciiTheme="minorEastAsia" w:hAnsiTheme="minorEastAsia" w:eastAsiaTheme="minorEastAsia" w:cstheme="minorEastAsia"/>
          <w:color w:val="333333"/>
          <w:sz w:val="24"/>
          <w:szCs w:val="24"/>
          <w:shd w:val="clear" w:fill="FFFFFF"/>
          <w:lang w:val="en-US" w:eastAsia="zh-CN"/>
        </w:rPr>
        <w:t>9.4</w:t>
      </w:r>
      <w:r>
        <w:rPr>
          <w:rFonts w:hint="eastAsia" w:asciiTheme="minorEastAsia" w:hAnsiTheme="minorEastAsia" w:eastAsiaTheme="minorEastAsia" w:cstheme="minorEastAsia"/>
          <w:color w:val="333333"/>
          <w:sz w:val="24"/>
          <w:szCs w:val="24"/>
          <w:shd w:val="clear" w:fill="FFFFFF"/>
        </w:rPr>
        <w:t>%，农村居民人均消费支出</w:t>
      </w:r>
      <w:r>
        <w:rPr>
          <w:rFonts w:hint="eastAsia" w:asciiTheme="minorEastAsia" w:hAnsiTheme="minorEastAsia" w:eastAsiaTheme="minorEastAsia" w:cstheme="minorEastAsia"/>
          <w:color w:val="333333"/>
          <w:sz w:val="24"/>
          <w:szCs w:val="24"/>
          <w:shd w:val="clear" w:fill="FFFFFF"/>
          <w:lang w:val="en-US" w:eastAsia="zh-CN"/>
        </w:rPr>
        <w:t>9968</w:t>
      </w:r>
      <w:r>
        <w:rPr>
          <w:rFonts w:hint="eastAsia" w:asciiTheme="minorEastAsia" w:hAnsiTheme="minorEastAsia" w:eastAsiaTheme="minorEastAsia" w:cstheme="minorEastAsia"/>
          <w:color w:val="333333"/>
          <w:sz w:val="24"/>
          <w:szCs w:val="24"/>
          <w:shd w:val="clear" w:fill="FFFFFF"/>
        </w:rPr>
        <w:t>元，同比增长</w:t>
      </w:r>
      <w:r>
        <w:rPr>
          <w:rFonts w:hint="eastAsia" w:asciiTheme="minorEastAsia" w:hAnsiTheme="minorEastAsia" w:eastAsiaTheme="minorEastAsia" w:cstheme="minorEastAsia"/>
          <w:color w:val="333333"/>
          <w:sz w:val="24"/>
          <w:szCs w:val="24"/>
          <w:shd w:val="clear" w:fill="FFFFFF"/>
          <w:lang w:val="en-US" w:eastAsia="zh-CN"/>
        </w:rPr>
        <w:t xml:space="preserve">6.5 </w:t>
      </w:r>
      <w:r>
        <w:rPr>
          <w:rFonts w:hint="eastAsia" w:asciiTheme="minorEastAsia" w:hAnsiTheme="minorEastAsia" w:eastAsiaTheme="minorEastAsia" w:cstheme="minorEastAsia"/>
          <w:color w:val="333333"/>
          <w:sz w:val="24"/>
          <w:szCs w:val="24"/>
          <w:shd w:val="clear" w:fill="FFFFFF"/>
        </w:rPr>
        <w:t>%。城镇占</w:t>
      </w:r>
      <w:r>
        <w:rPr>
          <w:rFonts w:hint="eastAsia" w:asciiTheme="minorEastAsia" w:hAnsiTheme="minorEastAsia" w:eastAsiaTheme="minorEastAsia" w:cstheme="minorEastAsia"/>
          <w:color w:val="333333"/>
          <w:sz w:val="24"/>
          <w:szCs w:val="24"/>
          <w:shd w:val="clear" w:fill="FFFFFF"/>
          <w:lang w:val="en-US" w:eastAsia="zh-CN"/>
        </w:rPr>
        <w:t>20</w:t>
      </w:r>
      <w:r>
        <w:rPr>
          <w:rFonts w:hint="eastAsia" w:asciiTheme="minorEastAsia" w:hAnsiTheme="minorEastAsia" w:eastAsiaTheme="minorEastAsia" w:cstheme="minorEastAsia"/>
          <w:color w:val="333333"/>
          <w:sz w:val="24"/>
          <w:szCs w:val="24"/>
          <w:shd w:val="clear" w:fill="FFFFFF"/>
        </w:rPr>
        <w:t>%的低收入家庭人均可支配收入</w:t>
      </w:r>
      <w:r>
        <w:rPr>
          <w:rFonts w:hint="eastAsia" w:asciiTheme="minorEastAsia" w:hAnsiTheme="minorEastAsia" w:eastAsiaTheme="minorEastAsia" w:cstheme="minorEastAsia"/>
          <w:color w:val="333333"/>
          <w:sz w:val="24"/>
          <w:szCs w:val="24"/>
          <w:shd w:val="clear" w:fill="FFFFFF"/>
          <w:lang w:val="en-US" w:eastAsia="zh-CN"/>
        </w:rPr>
        <w:t xml:space="preserve"> 9964</w:t>
      </w:r>
      <w:r>
        <w:rPr>
          <w:rFonts w:hint="eastAsia" w:asciiTheme="minorEastAsia" w:hAnsiTheme="minorEastAsia" w:eastAsiaTheme="minorEastAsia" w:cstheme="minorEastAsia"/>
          <w:color w:val="333333"/>
          <w:sz w:val="24"/>
          <w:szCs w:val="24"/>
          <w:shd w:val="clear" w:fill="FFFFFF"/>
        </w:rPr>
        <w:t>元，同比增长</w:t>
      </w:r>
      <w:r>
        <w:rPr>
          <w:rFonts w:hint="eastAsia" w:asciiTheme="minorEastAsia" w:hAnsiTheme="minorEastAsia" w:eastAsiaTheme="minorEastAsia" w:cstheme="minorEastAsia"/>
          <w:color w:val="333333"/>
          <w:sz w:val="24"/>
          <w:szCs w:val="24"/>
          <w:shd w:val="clear" w:fill="FFFFFF"/>
          <w:lang w:val="en-US" w:eastAsia="zh-CN"/>
        </w:rPr>
        <w:t>8.2</w:t>
      </w:r>
      <w:r>
        <w:rPr>
          <w:rFonts w:hint="eastAsia" w:asciiTheme="minorEastAsia" w:hAnsiTheme="minorEastAsia" w:eastAsiaTheme="minorEastAsia" w:cstheme="minorEastAsia"/>
          <w:color w:val="333333"/>
          <w:sz w:val="24"/>
          <w:szCs w:val="24"/>
          <w:shd w:val="clear" w:fill="FFFFFF"/>
        </w:rPr>
        <w:t>%；农村占20%的低收入家庭人均可支配收入</w:t>
      </w:r>
      <w:r>
        <w:rPr>
          <w:rFonts w:hint="eastAsia" w:asciiTheme="minorEastAsia" w:hAnsiTheme="minorEastAsia" w:eastAsiaTheme="minorEastAsia" w:cstheme="minorEastAsia"/>
          <w:color w:val="333333"/>
          <w:sz w:val="24"/>
          <w:szCs w:val="24"/>
          <w:shd w:val="clear" w:fill="FFFFFF"/>
          <w:lang w:val="en-US" w:eastAsia="zh-CN"/>
        </w:rPr>
        <w:t>4471</w:t>
      </w:r>
      <w:r>
        <w:rPr>
          <w:rFonts w:hint="eastAsia" w:asciiTheme="minorEastAsia" w:hAnsiTheme="minorEastAsia" w:eastAsiaTheme="minorEastAsia" w:cstheme="minorEastAsia"/>
          <w:color w:val="333333"/>
          <w:sz w:val="24"/>
          <w:szCs w:val="24"/>
          <w:shd w:val="clear" w:fill="FFFFFF"/>
        </w:rPr>
        <w:t>元，同比增长</w:t>
      </w:r>
      <w:r>
        <w:rPr>
          <w:rFonts w:hint="eastAsia" w:asciiTheme="minorEastAsia" w:hAnsiTheme="minorEastAsia" w:eastAsiaTheme="minorEastAsia" w:cstheme="minorEastAsia"/>
          <w:color w:val="333333"/>
          <w:sz w:val="24"/>
          <w:szCs w:val="24"/>
          <w:shd w:val="clear" w:fill="FFFFFF"/>
          <w:lang w:val="en-US" w:eastAsia="zh-CN"/>
        </w:rPr>
        <w:t>14.6</w:t>
      </w:r>
      <w:r>
        <w:rPr>
          <w:rFonts w:hint="eastAsia" w:asciiTheme="minorEastAsia" w:hAnsiTheme="minorEastAsia" w:eastAsiaTheme="minorEastAsia" w:cstheme="minorEastAsia"/>
          <w:color w:val="333333"/>
          <w:sz w:val="24"/>
          <w:szCs w:val="24"/>
          <w:shd w:val="clear" w:fill="FFFFFF"/>
        </w:rPr>
        <w:t>%。</w:t>
      </w:r>
    </w:p>
    <w:p w14:paraId="5DF0A5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2" w:firstLineChars="200"/>
        <w:jc w:val="center"/>
        <w:textAlignment w:val="auto"/>
        <w:rPr>
          <w:rFonts w:hint="eastAsia" w:asciiTheme="minorEastAsia" w:hAnsiTheme="minorEastAsia" w:eastAsiaTheme="minorEastAsia" w:cstheme="minorEastAsia"/>
          <w:b/>
          <w:bCs/>
          <w:color w:val="333333"/>
          <w:sz w:val="24"/>
          <w:szCs w:val="24"/>
          <w:shd w:val="clear" w:fill="FFFFFF"/>
        </w:rPr>
      </w:pPr>
      <w:r>
        <w:rPr>
          <w:rFonts w:hint="eastAsia" w:asciiTheme="minorEastAsia" w:hAnsiTheme="minorEastAsia" w:eastAsiaTheme="minorEastAsia" w:cstheme="minorEastAsia"/>
          <w:b/>
          <w:bCs/>
          <w:color w:val="333333"/>
          <w:sz w:val="24"/>
          <w:szCs w:val="24"/>
          <w:shd w:val="clear" w:fill="FFFFFF"/>
        </w:rPr>
        <w:t>图8  2015-2019年居民人均可支配收入及其增长速</w:t>
      </w:r>
    </w:p>
    <w:p w14:paraId="17B0F2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4975860</wp:posOffset>
                </wp:positionH>
                <wp:positionV relativeFrom="paragraph">
                  <wp:posOffset>144780</wp:posOffset>
                </wp:positionV>
                <wp:extent cx="342900" cy="250190"/>
                <wp:effectExtent l="0" t="0" r="0" b="0"/>
                <wp:wrapNone/>
                <wp:docPr id="46" name="文本框 3"/>
                <wp:cNvGraphicFramePr/>
                <a:graphic xmlns:a="http://schemas.openxmlformats.org/drawingml/2006/main">
                  <a:graphicData uri="http://schemas.microsoft.com/office/word/2010/wordprocessingShape">
                    <wps:wsp>
                      <wps:cNvSpPr txBox="1"/>
                      <wps:spPr>
                        <a:xfrm>
                          <a:off x="0" y="0"/>
                          <a:ext cx="343158" cy="250693"/>
                        </a:xfrm>
                        <a:prstGeom prst="rect">
                          <a:avLst/>
                        </a:prstGeom>
                      </wps:spPr>
                      <wps:txbx>
                        <w:txbxContent>
                          <w:p w14:paraId="2047B377">
                            <w:pPr>
                              <w:pStyle w:val="5"/>
                              <w:kinsoku/>
                              <w:ind w:left="0"/>
                              <w:jc w:val="left"/>
                            </w:pPr>
                          </w:p>
                        </w:txbxContent>
                      </wps:txbx>
                      <wps:bodyPr vertOverflow="clip" horzOverflow="clip" wrap="square" rtlCol="0" anchor="t"/>
                    </wps:wsp>
                  </a:graphicData>
                </a:graphic>
              </wp:anchor>
            </w:drawing>
          </mc:Choice>
          <mc:Fallback>
            <w:pict>
              <v:shape id="文本框 3" o:spid="_x0000_s1026" o:spt="202" type="#_x0000_t202" style="position:absolute;left:0pt;margin-left:391.8pt;margin-top:11.4pt;height:19.7pt;width:27pt;z-index:251663360;mso-width-relative:page;mso-height-relative:page;" filled="f" stroked="f" coordsize="21600,21600" o:gfxdata="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derOnWAAAACQEAAA8AAAAAAAAAAQAgAAAAIgAAAGRycy9kb3ducmV2Lnht&#10;bFBLAQIUABQAAAAIAIdO4kC3Ri1ewgEAAGsDAAAOAAAAAAAAAAEAIAAAACUBAABkcnMvZTJvRG9j&#10;LnhtbFBLBQYAAAAABgAGAFkBAABZBQAAAAA=&#10;">
                <v:fill on="f" focussize="0,0"/>
                <v:stroke on="f"/>
                <v:imagedata o:title=""/>
                <o:lock v:ext="edit" aspectratio="f"/>
                <v:textbox>
                  <w:txbxContent>
                    <w:p w14:paraId="2047B377">
                      <w:pPr>
                        <w:pStyle w:val="5"/>
                        <w:kinsoku/>
                        <w:ind w:left="0"/>
                        <w:jc w:val="left"/>
                      </w:pPr>
                    </w:p>
                  </w:txbxContent>
                </v:textbox>
              </v:shape>
            </w:pict>
          </mc:Fallback>
        </mc:AlternateContent>
      </w:r>
      <w:r>
        <w:rPr>
          <w:rFonts w:hint="eastAsia" w:asciiTheme="minorEastAsia" w:hAnsiTheme="minorEastAsia" w:eastAsiaTheme="minorEastAsia" w:cstheme="minorEastAsia"/>
          <w:sz w:val="24"/>
          <w:szCs w:val="24"/>
        </w:rPr>
        <mc:AlternateContent>
          <mc:Choice Requires="wpg">
            <w:drawing>
              <wp:inline distT="0" distB="0" distL="114300" distR="114300">
                <wp:extent cx="5227955" cy="3226435"/>
                <wp:effectExtent l="4445" t="4445" r="6350" b="7620"/>
                <wp:docPr id="55" name="组合 55"/>
                <wp:cNvGraphicFramePr/>
                <a:graphic xmlns:a="http://schemas.openxmlformats.org/drawingml/2006/main">
                  <a:graphicData uri="http://schemas.microsoft.com/office/word/2010/wordprocessingGroup">
                    <wpg:wgp>
                      <wpg:cNvGrpSpPr/>
                      <wpg:grpSpPr>
                        <a:xfrm>
                          <a:off x="0" y="0"/>
                          <a:ext cx="5227955" cy="3226435"/>
                          <a:chOff x="2725" y="298396"/>
                          <a:chExt cx="7979" cy="5492"/>
                        </a:xfrm>
                      </wpg:grpSpPr>
                      <wpg:grpSp>
                        <wpg:cNvPr id="58" name="组合 4"/>
                        <wpg:cNvGrpSpPr/>
                        <wpg:grpSpPr>
                          <a:xfrm>
                            <a:off x="2725" y="298396"/>
                            <a:ext cx="7979" cy="5492"/>
                            <a:chOff x="5541" y="2186"/>
                            <a:chExt cx="7979" cy="5008"/>
                          </a:xfrm>
                        </wpg:grpSpPr>
                        <wpg:graphicFrame>
                          <wpg:cNvPr id="86050" name="图表 2"/>
                          <wpg:cNvFrPr/>
                          <wpg:xfrm>
                            <a:off x="5541" y="2186"/>
                            <a:ext cx="7902" cy="5008"/>
                          </wpg:xfrm>
                          <a:graphic>
                            <a:graphicData uri="http://schemas.openxmlformats.org/drawingml/2006/chart">
                              <c:chart xmlns:c="http://schemas.openxmlformats.org/drawingml/2006/chart" xmlns:r="http://schemas.openxmlformats.org/officeDocument/2006/relationships" r:id="rId16"/>
                            </a:graphicData>
                          </a:graphic>
                        </wpg:graphicFrame>
                        <wps:wsp>
                          <wps:cNvPr id="50" name="文本框 3"/>
                          <wps:cNvSpPr txBox="1"/>
                          <wps:spPr>
                            <a:xfrm>
                              <a:off x="12980" y="2335"/>
                              <a:ext cx="540" cy="360"/>
                            </a:xfrm>
                            <a:prstGeom prst="rect">
                              <a:avLst/>
                            </a:prstGeom>
                          </wps:spPr>
                          <wps:txbx>
                            <w:txbxContent>
                              <w:p w14:paraId="6F0CFA16">
                                <w:pPr>
                                  <w:pStyle w:val="5"/>
                                  <w:kinsoku/>
                                  <w:ind w:left="0"/>
                                  <w:jc w:val="left"/>
                                </w:pPr>
                                <w:r>
                                  <w:rPr>
                                    <w:rFonts w:asciiTheme="minorAscii" w:hAnsiTheme="minorBidi" w:eastAsiaTheme="minorEastAsia"/>
                                    <w:color w:val="000000" w:themeColor="dark1"/>
                                    <w:kern w:val="24"/>
                                    <w:sz w:val="22"/>
                                    <w:szCs w:val="22"/>
                                    <w14:textFill>
                                      <w14:solidFill>
                                        <w14:schemeClr w14:val="dk1"/>
                                      </w14:solidFill>
                                    </w14:textFill>
                                  </w:rPr>
                                  <w:t>%</w:t>
                                </w:r>
                              </w:p>
                            </w:txbxContent>
                          </wps:txbx>
                          <wps:bodyPr vertOverflow="clip" horzOverflow="clip" wrap="square" rtlCol="0" anchor="t"/>
                        </wps:wsp>
                      </wpg:grpSp>
                      <wps:wsp>
                        <wps:cNvPr id="51" name="文本框 51"/>
                        <wps:cNvSpPr txBox="1"/>
                        <wps:spPr>
                          <a:xfrm>
                            <a:off x="2869" y="298477"/>
                            <a:ext cx="516" cy="469"/>
                          </a:xfrm>
                          <a:prstGeom prst="rect">
                            <a:avLst/>
                          </a:prstGeom>
                        </wps:spPr>
                        <wps:txbx>
                          <w:txbxContent>
                            <w:p w14:paraId="262921A0">
                              <w:pPr>
                                <w:pStyle w:val="5"/>
                                <w:kinsoku/>
                                <w:ind w:left="0"/>
                                <w:jc w:val="left"/>
                              </w:pPr>
                              <w:r>
                                <w:rPr>
                                  <w:rFonts w:asciiTheme="minorAscii" w:hAnsiTheme="minorBidi" w:eastAsiaTheme="minorEastAsia"/>
                                  <w:color w:val="000000" w:themeColor="dark1"/>
                                  <w:kern w:val="24"/>
                                  <w:sz w:val="22"/>
                                  <w:szCs w:val="22"/>
                                  <w14:textFill>
                                    <w14:solidFill>
                                      <w14:schemeClr w14:val="dk1"/>
                                    </w14:solidFill>
                                  </w14:textFill>
                                </w:rPr>
                                <w:t>元</w:t>
                              </w:r>
                            </w:p>
                          </w:txbxContent>
                        </wps:txbx>
                        <wps:bodyPr vertOverflow="clip" horzOverflow="clip" wrap="square" rtlCol="0" anchor="t"/>
                      </wps:wsp>
                    </wpg:wgp>
                  </a:graphicData>
                </a:graphic>
              </wp:inline>
            </w:drawing>
          </mc:Choice>
          <mc:Fallback>
            <w:pict>
              <v:group id="_x0000_s1026" o:spid="_x0000_s1026" o:spt="203" style="height:254.05pt;width:411.65pt;" coordorigin="2725,298396" coordsize="7979,5492" o:gfxdata="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">
                <o:lock v:ext="edit" aspectratio="f"/>
                <v:group id="组合 4" o:spid="_x0000_s1026" o:spt="203" style="position:absolute;left:2725;top:298396;height:5492;width:7979;" coordorigin="5541,2186" coordsize="7979,5008"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rect id="图表 2" o:spid="_x0000_s1026" o:spt="75" style="position:absolute;left:5534;top:2179;height:5023;width:7917;" coordsize="21600,21600" o:gfxdata="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p/Mi/&#10;AAAA3gAAAA8AAAAAAAAAAQAgAAAAIgAAAGRycy9kb3ducmV2LnhtbFBLAQIUABQAAAAIAIdO4kAz&#10;LwWeOwAAADkAAAAQAAAAAAAAAAEAIAAAAA4BAABkcnMvc2hhcGV4bWwueG1sUEsFBgAAAAAGAAYA&#10;WwEAALgDAAAAAA==&#10;">
                    <v:imagedata r:id="rId17" o:title=""/>
                    <o:lock v:ext="edit"/>
                  </v:rect>
                  <v:shape id="文本框 3" o:spid="_x0000_s1026" o:spt="202" type="#_x0000_t202" style="position:absolute;left:12980;top:2335;height:360;width:540;"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14:paraId="6F0CFA16">
                          <w:pPr>
                            <w:pStyle w:val="5"/>
                            <w:kinsoku/>
                            <w:ind w:left="0"/>
                            <w:jc w:val="left"/>
                          </w:pPr>
                          <w:r>
                            <w:rPr>
                              <w:rFonts w:asciiTheme="minorAscii" w:hAnsiTheme="minorBidi" w:eastAsiaTheme="minorEastAsia"/>
                              <w:color w:val="000000" w:themeColor="dark1"/>
                              <w:kern w:val="24"/>
                              <w:sz w:val="22"/>
                              <w:szCs w:val="22"/>
                              <w14:textFill>
                                <w14:solidFill>
                                  <w14:schemeClr w14:val="dk1"/>
                                </w14:solidFill>
                              </w14:textFill>
                            </w:rPr>
                            <w:t>%</w:t>
                          </w:r>
                        </w:p>
                      </w:txbxContent>
                    </v:textbox>
                  </v:shape>
                </v:group>
                <v:shape id="_x0000_s1026" o:spid="_x0000_s1026" o:spt="202" type="#_x0000_t202" style="position:absolute;left:2869;top:298477;height:469;width:516;" filled="f" stroked="f" coordsize="21600,21600" o:gfxdata="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lZq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62921A0">
                        <w:pPr>
                          <w:pStyle w:val="5"/>
                          <w:kinsoku/>
                          <w:ind w:left="0"/>
                          <w:jc w:val="left"/>
                        </w:pPr>
                        <w:r>
                          <w:rPr>
                            <w:rFonts w:asciiTheme="minorAscii" w:hAnsiTheme="minorBidi" w:eastAsiaTheme="minorEastAsia"/>
                            <w:color w:val="000000" w:themeColor="dark1"/>
                            <w:kern w:val="24"/>
                            <w:sz w:val="22"/>
                            <w:szCs w:val="22"/>
                            <w14:textFill>
                              <w14:solidFill>
                                <w14:schemeClr w14:val="dk1"/>
                              </w14:solidFill>
                            </w14:textFill>
                          </w:rPr>
                          <w:t>元</w:t>
                        </w:r>
                      </w:p>
                    </w:txbxContent>
                  </v:textbox>
                </v:shape>
                <w10:wrap type="none"/>
                <w10:anchorlock/>
              </v:group>
            </w:pict>
          </mc:Fallback>
        </mc:AlternateContent>
      </w:r>
    </w:p>
    <w:p w14:paraId="5A919F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图9  2015-2019年城镇居民人均可支配收入及其增长速度</w:t>
      </w:r>
    </w:p>
    <w:p w14:paraId="4D0D9E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g">
            <w:drawing>
              <wp:inline distT="0" distB="0" distL="114300" distR="114300">
                <wp:extent cx="5245100" cy="3004185"/>
                <wp:effectExtent l="4445" t="4445" r="8255" b="20320"/>
                <wp:docPr id="47" name="组合 47"/>
                <wp:cNvGraphicFramePr/>
                <a:graphic xmlns:a="http://schemas.openxmlformats.org/drawingml/2006/main">
                  <a:graphicData uri="http://schemas.microsoft.com/office/word/2010/wordprocessingGroup">
                    <wpg:wgp>
                      <wpg:cNvGrpSpPr/>
                      <wpg:grpSpPr>
                        <a:xfrm>
                          <a:off x="0" y="0"/>
                          <a:ext cx="5245100" cy="3004185"/>
                          <a:chOff x="2725" y="303700"/>
                          <a:chExt cx="8260" cy="4978"/>
                        </a:xfrm>
                      </wpg:grpSpPr>
                      <wpg:graphicFrame>
                        <wpg:cNvPr id="88070" name="图表 1"/>
                        <wpg:cNvFrPr/>
                        <wpg:xfrm>
                          <a:off x="2725" y="303700"/>
                          <a:ext cx="8261" cy="4979"/>
                        </wpg:xfrm>
                        <a:graphic>
                          <a:graphicData uri="http://schemas.openxmlformats.org/drawingml/2006/chart">
                            <c:chart xmlns:c="http://schemas.openxmlformats.org/drawingml/2006/chart" xmlns:r="http://schemas.openxmlformats.org/officeDocument/2006/relationships" r:id="rId18"/>
                          </a:graphicData>
                        </a:graphic>
                      </wpg:graphicFrame>
                      <wps:wsp>
                        <wps:cNvPr id="40" name="文本框 40"/>
                        <wps:cNvSpPr txBox="1"/>
                        <wps:spPr>
                          <a:xfrm rot="10980000" flipV="1">
                            <a:off x="10399" y="303880"/>
                            <a:ext cx="540" cy="445"/>
                          </a:xfrm>
                          <a:prstGeom prst="rect">
                            <a:avLst/>
                          </a:prstGeom>
                        </wps:spPr>
                        <wps:txbx>
                          <w:txbxContent>
                            <w:p w14:paraId="64EFF1FF">
                              <w:pPr>
                                <w:pStyle w:val="5"/>
                                <w:kinsoku/>
                                <w:ind w:left="0"/>
                                <w:jc w:val="left"/>
                              </w:pPr>
                              <w:r>
                                <w:rPr>
                                  <w:rFonts w:asciiTheme="minorAscii" w:hAnsiTheme="minorBidi" w:eastAsiaTheme="minorEastAsia"/>
                                  <w:kern w:val="24"/>
                                  <w:sz w:val="22"/>
                                  <w:szCs w:val="22"/>
                                </w:rPr>
                                <w:t>%</w:t>
                              </w:r>
                            </w:p>
                          </w:txbxContent>
                        </wps:txbx>
                        <wps:bodyPr vertOverflow="clip" horzOverflow="clip" wrap="square" rtlCol="0" anchor="t"/>
                      </wps:wsp>
                      <wps:wsp>
                        <wps:cNvPr id="3" name="文本框 3"/>
                        <wps:cNvSpPr txBox="1"/>
                        <wps:spPr>
                          <a:xfrm rot="10800000" flipV="1">
                            <a:off x="2859" y="303840"/>
                            <a:ext cx="540" cy="445"/>
                          </a:xfrm>
                          <a:prstGeom prst="rect">
                            <a:avLst/>
                          </a:prstGeom>
                        </wps:spPr>
                        <wps:txbx>
                          <w:txbxContent>
                            <w:p w14:paraId="5C41AD8F">
                              <w:pPr>
                                <w:pStyle w:val="5"/>
                                <w:kinsoku/>
                                <w:ind w:left="0"/>
                                <w:jc w:val="left"/>
                              </w:pPr>
                              <w:r>
                                <w:rPr>
                                  <w:rFonts w:asciiTheme="minorAscii" w:hAnsiTheme="minorBidi" w:eastAsiaTheme="minorEastAsia"/>
                                  <w:kern w:val="24"/>
                                  <w:sz w:val="22"/>
                                  <w:szCs w:val="22"/>
                                </w:rPr>
                                <w:t>元</w:t>
                              </w:r>
                            </w:p>
                          </w:txbxContent>
                        </wps:txbx>
                        <wps:bodyPr vertOverflow="clip" horzOverflow="clip" wrap="square" rtlCol="0" anchor="t"/>
                      </wps:wsp>
                    </wpg:wgp>
                  </a:graphicData>
                </a:graphic>
              </wp:inline>
            </w:drawing>
          </mc:Choice>
          <mc:Fallback>
            <w:pict>
              <v:group id="_x0000_s1026" o:spid="_x0000_s1026" o:spt="203" style="height:236.55pt;width:413pt;" coordorigin="2725,303700" coordsize="8260,4978" o:gfxdata="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">
                <o:lock v:ext="edit" aspectratio="f"/>
                <v:rect id="图表 1" o:spid="_x0000_s1026" o:spt="75" style="position:absolute;left:2718;top:303692;height:4995;width:8276;" coordsize="21600,21600" o:gfxdata="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wVy/&#10;AAAA3gAAAA8AAAAAAAAAAQAgAAAAIgAAAGRycy9kb3ducmV2LnhtbFBLAQIUABQAAAAIAIdO4kAz&#10;LwWeOwAAADkAAAAQAAAAAAAAAAEAIAAAAA4BAABkcnMvc2hhcGV4bWwueG1sUEsFBgAAAAAGAAYA&#10;WwEAALgDAAAAAA==&#10;">
                  <v:imagedata r:id="rId19" o:title=""/>
                  <o:lock v:ext="edit"/>
                </v:rect>
                <v:shape id="_x0000_s1026" o:spid="_x0000_s1026" o:spt="202" type="#_x0000_t202" style="position:absolute;left:10399;top:303880;flip:y;height:445;width:540;rotation:11599872f;" filled="f" stroked="f" coordsize="21600,21600" o:gfxdata="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06uQL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14:paraId="64EFF1FF">
                        <w:pPr>
                          <w:pStyle w:val="5"/>
                          <w:kinsoku/>
                          <w:ind w:left="0"/>
                          <w:jc w:val="left"/>
                        </w:pPr>
                        <w:r>
                          <w:rPr>
                            <w:rFonts w:asciiTheme="minorAscii" w:hAnsiTheme="minorBidi" w:eastAsiaTheme="minorEastAsia"/>
                            <w:kern w:val="24"/>
                            <w:sz w:val="22"/>
                            <w:szCs w:val="22"/>
                          </w:rPr>
                          <w:t>%</w:t>
                        </w:r>
                      </w:p>
                    </w:txbxContent>
                  </v:textbox>
                </v:shape>
                <v:shape id="_x0000_s1026" o:spid="_x0000_s1026" o:spt="202" type="#_x0000_t202" style="position:absolute;left:2859;top:303840;flip:y;height:445;width:540;rotation:11796480f;" filled="f" stroked="f" coordsize="21600,21600" o:gfxdata="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lai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14:paraId="5C41AD8F">
                        <w:pPr>
                          <w:pStyle w:val="5"/>
                          <w:kinsoku/>
                          <w:ind w:left="0"/>
                          <w:jc w:val="left"/>
                        </w:pPr>
                        <w:r>
                          <w:rPr>
                            <w:rFonts w:asciiTheme="minorAscii" w:hAnsiTheme="minorBidi" w:eastAsiaTheme="minorEastAsia"/>
                            <w:kern w:val="24"/>
                            <w:sz w:val="22"/>
                            <w:szCs w:val="22"/>
                          </w:rPr>
                          <w:t>元</w:t>
                        </w:r>
                      </w:p>
                    </w:txbxContent>
                  </v:textbox>
                </v:shape>
                <w10:wrap type="none"/>
                <w10:anchorlock/>
              </v:group>
            </w:pict>
          </mc:Fallback>
        </mc:AlternateContent>
      </w:r>
      <w:r>
        <w:rPr>
          <w:rFonts w:hint="eastAsia" w:asciiTheme="minorEastAsia" w:hAnsiTheme="minorEastAsia" w:eastAsiaTheme="minorEastAsia" w:cstheme="minorEastAsia"/>
          <w:b/>
          <w:bCs/>
          <w:sz w:val="24"/>
          <w:szCs w:val="24"/>
        </w:rPr>
        <w:t>图10  2015-2019年农村居民人均可支配收入及其增长速度</w:t>
      </w:r>
    </w:p>
    <w:p w14:paraId="633E7F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sz w:val="24"/>
          <w:szCs w:val="24"/>
        </w:rPr>
        <mc:AlternateContent>
          <mc:Choice Requires="wpg">
            <w:drawing>
              <wp:inline distT="0" distB="0" distL="114300" distR="114300">
                <wp:extent cx="5245100" cy="3003550"/>
                <wp:effectExtent l="4445" t="4445" r="8255" b="20955"/>
                <wp:docPr id="43" name="组合 43"/>
                <wp:cNvGraphicFramePr/>
                <a:graphic xmlns:a="http://schemas.openxmlformats.org/drawingml/2006/main">
                  <a:graphicData uri="http://schemas.microsoft.com/office/word/2010/wordprocessingGroup">
                    <wpg:wgp>
                      <wpg:cNvGrpSpPr/>
                      <wpg:grpSpPr>
                        <a:xfrm>
                          <a:off x="0" y="0"/>
                          <a:ext cx="5245100" cy="3003550"/>
                          <a:chOff x="2725" y="315517"/>
                          <a:chExt cx="8260" cy="4978"/>
                        </a:xfrm>
                      </wpg:grpSpPr>
                      <wpg:graphicFrame>
                        <wpg:cNvPr id="42" name="图表 42"/>
                        <wpg:cNvFrPr/>
                        <wpg:xfrm>
                          <a:off x="2725" y="315517"/>
                          <a:ext cx="8261" cy="4979"/>
                        </wpg:xfrm>
                        <a:graphic>
                          <a:graphicData uri="http://schemas.openxmlformats.org/drawingml/2006/chart">
                            <c:chart xmlns:c="http://schemas.openxmlformats.org/drawingml/2006/chart" xmlns:r="http://schemas.openxmlformats.org/officeDocument/2006/relationships" r:id="rId20"/>
                          </a:graphicData>
                        </a:graphic>
                      </wpg:graphicFrame>
                      <wps:wsp>
                        <wps:cNvPr id="5" name="文本框 3"/>
                        <wps:cNvSpPr txBox="1"/>
                        <wps:spPr>
                          <a:xfrm rot="10980000" flipV="1">
                            <a:off x="10423" y="315697"/>
                            <a:ext cx="540" cy="445"/>
                          </a:xfrm>
                          <a:prstGeom prst="rect">
                            <a:avLst/>
                          </a:prstGeom>
                        </wps:spPr>
                        <wps:txbx>
                          <w:txbxContent>
                            <w:p w14:paraId="64FD07FF">
                              <w:pPr>
                                <w:pStyle w:val="5"/>
                                <w:kinsoku/>
                                <w:ind w:left="0"/>
                                <w:jc w:val="left"/>
                              </w:pPr>
                              <w:r>
                                <w:rPr>
                                  <w:rFonts w:asciiTheme="minorAscii" w:hAnsiTheme="minorBidi" w:eastAsiaTheme="minorEastAsia"/>
                                  <w:kern w:val="24"/>
                                  <w:sz w:val="22"/>
                                  <w:szCs w:val="22"/>
                                </w:rPr>
                                <w:t>%</w:t>
                              </w:r>
                            </w:p>
                          </w:txbxContent>
                        </wps:txbx>
                        <wps:bodyPr vertOverflow="clip" horzOverflow="clip" wrap="square" rtlCol="0" anchor="t"/>
                      </wps:wsp>
                      <wps:wsp>
                        <wps:cNvPr id="6" name="文本框 5"/>
                        <wps:cNvSpPr txBox="1"/>
                        <wps:spPr>
                          <a:xfrm rot="10800000" flipV="1">
                            <a:off x="2883" y="315657"/>
                            <a:ext cx="540" cy="445"/>
                          </a:xfrm>
                          <a:prstGeom prst="rect">
                            <a:avLst/>
                          </a:prstGeom>
                        </wps:spPr>
                        <wps:txbx>
                          <w:txbxContent>
                            <w:p w14:paraId="5944EC0B">
                              <w:pPr>
                                <w:pStyle w:val="5"/>
                                <w:kinsoku/>
                                <w:ind w:left="0"/>
                                <w:jc w:val="left"/>
                              </w:pPr>
                              <w:r>
                                <w:rPr>
                                  <w:rFonts w:asciiTheme="minorAscii" w:hAnsiTheme="minorBidi" w:eastAsiaTheme="minorEastAsia"/>
                                  <w:kern w:val="24"/>
                                  <w:sz w:val="22"/>
                                  <w:szCs w:val="22"/>
                                </w:rPr>
                                <w:t>元</w:t>
                              </w:r>
                            </w:p>
                          </w:txbxContent>
                        </wps:txbx>
                        <wps:bodyPr vertOverflow="clip" horzOverflow="clip" wrap="square" rtlCol="0" anchor="t"/>
                      </wps:wsp>
                    </wpg:wgp>
                  </a:graphicData>
                </a:graphic>
              </wp:inline>
            </w:drawing>
          </mc:Choice>
          <mc:Fallback>
            <w:pict>
              <v:group id="_x0000_s1026" o:spid="_x0000_s1026" o:spt="203" style="height:236.5pt;width:413pt;" coordorigin="2725,315517" coordsize="8260,4978" o:gfxdata="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">
                <o:lock v:ext="edit" aspectratio="f"/>
                <v:rect id="_x0000_s1026" o:spid="_x0000_s1026" o:spt="75" style="position:absolute;left:2718;top:315509;height:4995;width:8276;" coordsize="21600,21600" o:gfxdata="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vsdm8AAAA&#10;2wAAAA8AAAAAAAAAAQAgAAAAIgAAAGRycy9kb3ducmV2LnhtbFBLAQIUABQAAAAIAIdO4kAzLwWe&#10;OwAAADkAAAAQAAAAAAAAAAEAIAAAAAsBAABkcnMvc2hhcGV4bWwueG1sUEsFBgAAAAAGAAYAWwEA&#10;ALUDAAAAAA==&#10;">
                  <v:imagedata r:id="rId21" o:title=""/>
                  <o:lock v:ext="edit"/>
                </v:rect>
                <v:shape id="文本框 3" o:spid="_x0000_s1026" o:spt="202" type="#_x0000_t202" style="position:absolute;left:10423;top:315697;flip:y;height:445;width:540;rotation:11599872f;" filled="f" stroked="f" coordsize="21600,21600" o:gfxdata="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5OM2bsAAADa&#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64FD07FF">
                        <w:pPr>
                          <w:pStyle w:val="5"/>
                          <w:kinsoku/>
                          <w:ind w:left="0"/>
                          <w:jc w:val="left"/>
                        </w:pPr>
                        <w:r>
                          <w:rPr>
                            <w:rFonts w:asciiTheme="minorAscii" w:hAnsiTheme="minorBidi" w:eastAsiaTheme="minorEastAsia"/>
                            <w:kern w:val="24"/>
                            <w:sz w:val="22"/>
                            <w:szCs w:val="22"/>
                          </w:rPr>
                          <w:t>%</w:t>
                        </w:r>
                      </w:p>
                    </w:txbxContent>
                  </v:textbox>
                </v:shape>
                <v:shape id="文本框 5" o:spid="_x0000_s1026" o:spt="202" type="#_x0000_t202" style="position:absolute;left:2883;top:315657;flip:y;height:445;width:540;rotation:11796480f;" filled="f" stroked="f" coordsize="21600,21600" o:gfxdata="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iCz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5944EC0B">
                        <w:pPr>
                          <w:pStyle w:val="5"/>
                          <w:kinsoku/>
                          <w:ind w:left="0"/>
                          <w:jc w:val="left"/>
                        </w:pPr>
                        <w:r>
                          <w:rPr>
                            <w:rFonts w:asciiTheme="minorAscii" w:hAnsiTheme="minorBidi" w:eastAsiaTheme="minorEastAsia"/>
                            <w:kern w:val="24"/>
                            <w:sz w:val="22"/>
                            <w:szCs w:val="22"/>
                          </w:rPr>
                          <w:t>元</w:t>
                        </w:r>
                      </w:p>
                    </w:txbxContent>
                  </v:textbox>
                </v:shape>
                <w10:wrap type="none"/>
                <w10:anchorlock/>
              </v:group>
            </w:pict>
          </mc:Fallback>
        </mc:AlternateContent>
      </w:r>
    </w:p>
    <w:p w14:paraId="05F6E0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333333"/>
          <w:sz w:val="24"/>
          <w:szCs w:val="24"/>
          <w:shd w:val="clear" w:fill="FFFFFF"/>
          <w:lang w:eastAsia="zh-CN"/>
        </w:rPr>
      </w:pPr>
      <w:r>
        <w:rPr>
          <w:rFonts w:hint="eastAsia" w:asciiTheme="minorEastAsia" w:hAnsiTheme="minorEastAsia" w:eastAsiaTheme="minorEastAsia" w:cstheme="minorEastAsia"/>
          <w:color w:val="333333"/>
          <w:sz w:val="24"/>
          <w:szCs w:val="24"/>
          <w:shd w:val="clear" w:fill="FFFFFF"/>
          <w:lang w:eastAsia="zh-CN"/>
        </w:rPr>
        <w:t>全年全县在岗职工平均工资</w:t>
      </w:r>
      <w:r>
        <w:rPr>
          <w:rFonts w:hint="eastAsia" w:asciiTheme="minorEastAsia" w:hAnsiTheme="minorEastAsia" w:eastAsiaTheme="minorEastAsia" w:cstheme="minorEastAsia"/>
          <w:color w:val="333333"/>
          <w:sz w:val="24"/>
          <w:szCs w:val="24"/>
          <w:shd w:val="clear" w:fill="FFFFFF"/>
          <w:lang w:val="en-US" w:eastAsia="zh-CN"/>
        </w:rPr>
        <w:t>75323</w:t>
      </w:r>
      <w:r>
        <w:rPr>
          <w:rFonts w:hint="eastAsia" w:asciiTheme="minorEastAsia" w:hAnsiTheme="minorEastAsia" w:eastAsiaTheme="minorEastAsia" w:cstheme="minorEastAsia"/>
          <w:color w:val="333333"/>
          <w:sz w:val="24"/>
          <w:szCs w:val="24"/>
          <w:shd w:val="clear" w:fill="FFFFFF"/>
          <w:lang w:eastAsia="zh-CN"/>
        </w:rPr>
        <w:t>元，同比增长</w:t>
      </w:r>
      <w:r>
        <w:rPr>
          <w:rFonts w:hint="eastAsia" w:asciiTheme="minorEastAsia" w:hAnsiTheme="minorEastAsia" w:eastAsiaTheme="minorEastAsia" w:cstheme="minorEastAsia"/>
          <w:color w:val="333333"/>
          <w:sz w:val="24"/>
          <w:szCs w:val="24"/>
          <w:shd w:val="clear" w:fill="FFFFFF"/>
          <w:lang w:val="en-US" w:eastAsia="zh-CN"/>
        </w:rPr>
        <w:t>3.03</w:t>
      </w:r>
      <w:r>
        <w:rPr>
          <w:rFonts w:hint="eastAsia" w:asciiTheme="minorEastAsia" w:hAnsiTheme="minorEastAsia" w:eastAsiaTheme="minorEastAsia" w:cstheme="minorEastAsia"/>
          <w:color w:val="333333"/>
          <w:sz w:val="24"/>
          <w:szCs w:val="24"/>
          <w:shd w:val="clear" w:fill="FFFFFF"/>
          <w:lang w:eastAsia="zh-CN"/>
        </w:rPr>
        <w:t>％；其中，企业在岗职工平均工资为</w:t>
      </w:r>
      <w:r>
        <w:rPr>
          <w:rFonts w:hint="eastAsia" w:asciiTheme="minorEastAsia" w:hAnsiTheme="minorEastAsia" w:eastAsiaTheme="minorEastAsia" w:cstheme="minorEastAsia"/>
          <w:color w:val="333333"/>
          <w:sz w:val="24"/>
          <w:szCs w:val="24"/>
          <w:shd w:val="clear" w:fill="FFFFFF"/>
          <w:lang w:val="en-US" w:eastAsia="zh-CN"/>
        </w:rPr>
        <w:t>85612</w:t>
      </w:r>
      <w:r>
        <w:rPr>
          <w:rFonts w:hint="eastAsia" w:asciiTheme="minorEastAsia" w:hAnsiTheme="minorEastAsia" w:eastAsiaTheme="minorEastAsia" w:cstheme="minorEastAsia"/>
          <w:color w:val="333333"/>
          <w:sz w:val="24"/>
          <w:szCs w:val="24"/>
          <w:shd w:val="clear" w:fill="FFFFFF"/>
          <w:lang w:eastAsia="zh-CN"/>
        </w:rPr>
        <w:t>元，同比增长</w:t>
      </w:r>
      <w:r>
        <w:rPr>
          <w:rFonts w:hint="eastAsia" w:asciiTheme="minorEastAsia" w:hAnsiTheme="minorEastAsia" w:eastAsiaTheme="minorEastAsia" w:cstheme="minorEastAsia"/>
          <w:color w:val="333333"/>
          <w:sz w:val="24"/>
          <w:szCs w:val="24"/>
          <w:shd w:val="clear" w:fill="FFFFFF"/>
          <w:lang w:val="en-US" w:eastAsia="zh-CN"/>
        </w:rPr>
        <w:t>11.04</w:t>
      </w:r>
      <w:r>
        <w:rPr>
          <w:rFonts w:hint="eastAsia" w:asciiTheme="minorEastAsia" w:hAnsiTheme="minorEastAsia" w:eastAsiaTheme="minorEastAsia" w:cstheme="minorEastAsia"/>
          <w:color w:val="333333"/>
          <w:sz w:val="24"/>
          <w:szCs w:val="24"/>
          <w:shd w:val="clear" w:fill="FFFFFF"/>
          <w:lang w:eastAsia="zh-CN"/>
        </w:rPr>
        <w:t>％；事业单位在岗职工平均工资为</w:t>
      </w:r>
      <w:r>
        <w:rPr>
          <w:rFonts w:hint="eastAsia" w:asciiTheme="minorEastAsia" w:hAnsiTheme="minorEastAsia" w:eastAsiaTheme="minorEastAsia" w:cstheme="minorEastAsia"/>
          <w:color w:val="333333"/>
          <w:sz w:val="24"/>
          <w:szCs w:val="24"/>
          <w:shd w:val="clear" w:fill="FFFFFF"/>
          <w:lang w:val="en-US" w:eastAsia="zh-CN"/>
        </w:rPr>
        <w:t>53604</w:t>
      </w:r>
      <w:r>
        <w:rPr>
          <w:rFonts w:hint="eastAsia" w:asciiTheme="minorEastAsia" w:hAnsiTheme="minorEastAsia" w:eastAsiaTheme="minorEastAsia" w:cstheme="minorEastAsia"/>
          <w:color w:val="333333"/>
          <w:sz w:val="24"/>
          <w:szCs w:val="24"/>
          <w:shd w:val="clear" w:fill="FFFFFF"/>
          <w:lang w:eastAsia="zh-CN"/>
        </w:rPr>
        <w:t>元，同比增长</w:t>
      </w:r>
      <w:r>
        <w:rPr>
          <w:rFonts w:hint="eastAsia" w:asciiTheme="minorEastAsia" w:hAnsiTheme="minorEastAsia" w:eastAsiaTheme="minorEastAsia" w:cstheme="minorEastAsia"/>
          <w:color w:val="333333"/>
          <w:sz w:val="24"/>
          <w:szCs w:val="24"/>
          <w:shd w:val="clear" w:fill="FFFFFF"/>
          <w:lang w:val="en-US" w:eastAsia="zh-CN"/>
        </w:rPr>
        <w:t>-13.8</w:t>
      </w:r>
      <w:r>
        <w:rPr>
          <w:rFonts w:hint="eastAsia" w:asciiTheme="minorEastAsia" w:hAnsiTheme="minorEastAsia" w:eastAsiaTheme="minorEastAsia" w:cstheme="minorEastAsia"/>
          <w:color w:val="333333"/>
          <w:sz w:val="24"/>
          <w:szCs w:val="24"/>
          <w:shd w:val="clear" w:fill="FFFFFF"/>
          <w:lang w:eastAsia="zh-CN"/>
        </w:rPr>
        <w:t>％；机关在岗职工平均工资为</w:t>
      </w:r>
      <w:r>
        <w:rPr>
          <w:rFonts w:hint="eastAsia" w:asciiTheme="minorEastAsia" w:hAnsiTheme="minorEastAsia" w:eastAsiaTheme="minorEastAsia" w:cstheme="minorEastAsia"/>
          <w:color w:val="333333"/>
          <w:sz w:val="24"/>
          <w:szCs w:val="24"/>
          <w:shd w:val="clear" w:fill="FFFFFF"/>
          <w:lang w:val="en-US" w:eastAsia="zh-CN"/>
        </w:rPr>
        <w:t>59979</w:t>
      </w:r>
      <w:r>
        <w:rPr>
          <w:rFonts w:hint="eastAsia" w:asciiTheme="minorEastAsia" w:hAnsiTheme="minorEastAsia" w:eastAsiaTheme="minorEastAsia" w:cstheme="minorEastAsia"/>
          <w:color w:val="333333"/>
          <w:sz w:val="24"/>
          <w:szCs w:val="24"/>
          <w:shd w:val="clear" w:fill="FFFFFF"/>
          <w:lang w:eastAsia="zh-CN"/>
        </w:rPr>
        <w:t>元，同比增长</w:t>
      </w:r>
      <w:r>
        <w:rPr>
          <w:rFonts w:hint="eastAsia" w:asciiTheme="minorEastAsia" w:hAnsiTheme="minorEastAsia" w:eastAsiaTheme="minorEastAsia" w:cstheme="minorEastAsia"/>
          <w:color w:val="333333"/>
          <w:sz w:val="24"/>
          <w:szCs w:val="24"/>
          <w:shd w:val="clear" w:fill="FFFFFF"/>
          <w:lang w:val="en-US" w:eastAsia="zh-CN"/>
        </w:rPr>
        <w:t>-13.2</w:t>
      </w:r>
      <w:r>
        <w:rPr>
          <w:rFonts w:hint="eastAsia" w:asciiTheme="minorEastAsia" w:hAnsiTheme="minorEastAsia" w:eastAsiaTheme="minorEastAsia" w:cstheme="minorEastAsia"/>
          <w:color w:val="333333"/>
          <w:sz w:val="24"/>
          <w:szCs w:val="24"/>
          <w:shd w:val="clear" w:fill="FFFFFF"/>
          <w:lang w:eastAsia="zh-CN"/>
        </w:rPr>
        <w:t>％。</w:t>
      </w:r>
    </w:p>
    <w:p w14:paraId="3D1773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shd w:val="clear" w:fill="FFFFFF"/>
          <w:lang w:val="en-US" w:eastAsia="zh-CN" w:bidi="ar"/>
        </w:rPr>
        <w:t xml:space="preserve">年末参加城镇职工基本养老保险 2.71万人，增加1.36万人；参加城乡居民社会养老保险17.97万人，增加0.18万人；参加城镇职工基本医疗保险3.66万人，增加0.32万人；参加失业保险2.41万人，增加0.31万人；参加工伤保险5.41万人；参加生育保险 3.66万人。 </w:t>
      </w:r>
    </w:p>
    <w:p w14:paraId="0B716E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全年得到城市最低生活保障救济人数</w:t>
      </w:r>
      <w:r>
        <w:rPr>
          <w:rFonts w:hint="eastAsia" w:asciiTheme="minorEastAsia" w:hAnsiTheme="minorEastAsia" w:eastAsiaTheme="minorEastAsia" w:cstheme="minorEastAsia"/>
          <w:color w:val="auto"/>
          <w:sz w:val="24"/>
          <w:szCs w:val="24"/>
          <w:shd w:val="clear" w:fill="FFFFFF"/>
          <w:lang w:val="en-US" w:eastAsia="zh-CN"/>
        </w:rPr>
        <w:t>1857</w:t>
      </w:r>
      <w:r>
        <w:rPr>
          <w:rFonts w:hint="eastAsia" w:asciiTheme="minorEastAsia" w:hAnsiTheme="minorEastAsia" w:eastAsiaTheme="minorEastAsia" w:cstheme="minorEastAsia"/>
          <w:color w:val="auto"/>
          <w:sz w:val="24"/>
          <w:szCs w:val="24"/>
          <w:shd w:val="clear" w:fill="FFFFFF"/>
        </w:rPr>
        <w:t>人，全年共发放城市最低保障资金</w:t>
      </w:r>
      <w:r>
        <w:rPr>
          <w:rFonts w:hint="eastAsia" w:asciiTheme="minorEastAsia" w:hAnsiTheme="minorEastAsia" w:eastAsiaTheme="minorEastAsia" w:cstheme="minorEastAsia"/>
          <w:color w:val="auto"/>
          <w:sz w:val="24"/>
          <w:szCs w:val="24"/>
          <w:shd w:val="clear" w:fill="FFFFFF"/>
          <w:lang w:val="en-US" w:eastAsia="zh-CN"/>
        </w:rPr>
        <w:t>956.2万</w:t>
      </w:r>
      <w:r>
        <w:rPr>
          <w:rFonts w:hint="eastAsia" w:asciiTheme="minorEastAsia" w:hAnsiTheme="minorEastAsia" w:eastAsiaTheme="minorEastAsia" w:cstheme="minorEastAsia"/>
          <w:color w:val="auto"/>
          <w:sz w:val="24"/>
          <w:szCs w:val="24"/>
          <w:shd w:val="clear" w:fill="FFFFFF"/>
        </w:rPr>
        <w:t>元</w:t>
      </w:r>
      <w:r>
        <w:rPr>
          <w:rFonts w:hint="eastAsia" w:asciiTheme="minorEastAsia" w:hAnsiTheme="minorEastAsia" w:eastAsiaTheme="minorEastAsia" w:cstheme="minorEastAsia"/>
          <w:color w:val="auto"/>
          <w:sz w:val="24"/>
          <w:szCs w:val="24"/>
          <w:shd w:val="clear" w:fill="FFFFFF"/>
          <w:lang w:eastAsia="zh-CN"/>
        </w:rPr>
        <w:t>；农村最低生活保障救济人数</w:t>
      </w:r>
      <w:r>
        <w:rPr>
          <w:rFonts w:hint="eastAsia" w:asciiTheme="minorEastAsia" w:hAnsiTheme="minorEastAsia" w:eastAsiaTheme="minorEastAsia" w:cstheme="minorEastAsia"/>
          <w:color w:val="auto"/>
          <w:sz w:val="24"/>
          <w:szCs w:val="24"/>
          <w:shd w:val="clear" w:fill="FFFFFF"/>
          <w:lang w:val="en-US" w:eastAsia="zh-CN"/>
        </w:rPr>
        <w:t>18167</w:t>
      </w:r>
      <w:r>
        <w:rPr>
          <w:rFonts w:hint="eastAsia" w:asciiTheme="minorEastAsia" w:hAnsiTheme="minorEastAsia" w:eastAsiaTheme="minorEastAsia" w:cstheme="minorEastAsia"/>
          <w:color w:val="auto"/>
          <w:sz w:val="24"/>
          <w:szCs w:val="24"/>
          <w:shd w:val="clear" w:fill="FFFFFF"/>
          <w:lang w:eastAsia="zh-CN"/>
        </w:rPr>
        <w:t>人，共发放农村最低保障资金</w:t>
      </w:r>
      <w:r>
        <w:rPr>
          <w:rFonts w:hint="eastAsia" w:asciiTheme="minorEastAsia" w:hAnsiTheme="minorEastAsia" w:eastAsiaTheme="minorEastAsia" w:cstheme="minorEastAsia"/>
          <w:color w:val="auto"/>
          <w:sz w:val="24"/>
          <w:szCs w:val="24"/>
          <w:shd w:val="clear" w:fill="FFFFFF"/>
          <w:lang w:val="en-US" w:eastAsia="zh-CN"/>
        </w:rPr>
        <w:t>6136.6</w:t>
      </w:r>
      <w:r>
        <w:rPr>
          <w:rFonts w:hint="eastAsia" w:asciiTheme="minorEastAsia" w:hAnsiTheme="minorEastAsia" w:eastAsiaTheme="minorEastAsia" w:cstheme="minorEastAsia"/>
          <w:color w:val="auto"/>
          <w:sz w:val="24"/>
          <w:szCs w:val="24"/>
          <w:shd w:val="clear" w:fill="FFFFFF"/>
          <w:lang w:eastAsia="zh-CN"/>
        </w:rPr>
        <w:t>万元，</w:t>
      </w:r>
      <w:r>
        <w:rPr>
          <w:rFonts w:hint="eastAsia" w:asciiTheme="minorEastAsia" w:hAnsiTheme="minorEastAsia" w:eastAsiaTheme="minorEastAsia" w:cstheme="minorEastAsia"/>
          <w:color w:val="auto"/>
          <w:sz w:val="24"/>
          <w:szCs w:val="24"/>
          <w:shd w:val="clear" w:fill="FFFFFF"/>
          <w:lang w:val="en-US" w:eastAsia="zh-CN"/>
        </w:rPr>
        <w:t>898人纳入农村特困，共发放农村特困金额 760.13万元。39人纳入城市特困，共发放城市特困金额44.37万元。</w:t>
      </w:r>
    </w:p>
    <w:p w14:paraId="5BF78C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年末全县城镇有各种社区服务设施6个，其中综合性社区服务中心6个，各类收养性单位床位数202张，国家抚恤、补助各类优抚对象1487人。</w:t>
      </w:r>
    </w:p>
    <w:p w14:paraId="4D9862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十</w:t>
      </w:r>
      <w:r>
        <w:rPr>
          <w:rFonts w:hint="eastAsia" w:asciiTheme="minorEastAsia" w:hAnsiTheme="minorEastAsia" w:eastAsiaTheme="minorEastAsia" w:cstheme="minorEastAsia"/>
          <w:color w:val="333333"/>
          <w:sz w:val="24"/>
          <w:szCs w:val="24"/>
          <w:shd w:val="clear" w:fill="FFFFFF"/>
          <w:lang w:eastAsia="zh-CN"/>
        </w:rPr>
        <w:t>二</w:t>
      </w:r>
      <w:r>
        <w:rPr>
          <w:rFonts w:hint="eastAsia" w:asciiTheme="minorEastAsia" w:hAnsiTheme="minorEastAsia" w:eastAsiaTheme="minorEastAsia" w:cstheme="minorEastAsia"/>
          <w:color w:val="333333"/>
          <w:sz w:val="24"/>
          <w:szCs w:val="24"/>
          <w:shd w:val="clear" w:fill="FFFFFF"/>
        </w:rPr>
        <w:t>、脱贫攻坚、环境和安全生产</w:t>
      </w:r>
    </w:p>
    <w:p w14:paraId="0DF1D8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kern w:val="0"/>
          <w:sz w:val="24"/>
          <w:szCs w:val="24"/>
          <w:shd w:val="clear" w:fill="FFFFFF"/>
          <w:lang w:val="en-US" w:eastAsia="zh-CN" w:bidi="ar"/>
        </w:rPr>
      </w:pPr>
      <w:r>
        <w:rPr>
          <w:rFonts w:hint="eastAsia" w:asciiTheme="minorEastAsia" w:hAnsiTheme="minorEastAsia" w:eastAsiaTheme="minorEastAsia" w:cstheme="minorEastAsia"/>
          <w:color w:val="auto"/>
          <w:kern w:val="0"/>
          <w:sz w:val="24"/>
          <w:szCs w:val="24"/>
          <w:shd w:val="clear" w:fill="FFFFFF"/>
          <w:lang w:val="en-US" w:eastAsia="zh-CN" w:bidi="ar"/>
        </w:rPr>
        <w:t>2019年是全县脱贫攻坚的关键之年，今年全县43户126人实现脱贫，剩余未脱贫人口63户，184人，贫困发生率降至0.064％，计划2020年底全部减贫。</w:t>
      </w:r>
    </w:p>
    <w:p w14:paraId="570549C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shd w:val="clear" w:color="auto" w:fill="FFFFFF"/>
          <w:lang w:bidi="ar"/>
        </w:rPr>
      </w:pPr>
      <w:r>
        <w:rPr>
          <w:rFonts w:hint="eastAsia" w:asciiTheme="minorEastAsia" w:hAnsiTheme="minorEastAsia" w:eastAsiaTheme="minorEastAsia" w:cstheme="minorEastAsia"/>
          <w:color w:val="auto"/>
          <w:kern w:val="0"/>
          <w:sz w:val="24"/>
          <w:szCs w:val="24"/>
          <w:shd w:val="clear" w:color="auto" w:fill="FFFFFF"/>
          <w:lang w:bidi="ar"/>
        </w:rPr>
        <w:t>城市建成区面积</w:t>
      </w:r>
      <w:r>
        <w:rPr>
          <w:rFonts w:hint="eastAsia" w:asciiTheme="minorEastAsia" w:hAnsiTheme="minorEastAsia" w:eastAsiaTheme="minorEastAsia" w:cstheme="minorEastAsia"/>
          <w:color w:val="auto"/>
          <w:kern w:val="0"/>
          <w:sz w:val="24"/>
          <w:szCs w:val="24"/>
          <w:shd w:val="clear" w:color="auto" w:fill="FFFFFF"/>
          <w:lang w:val="en-US" w:eastAsia="zh-CN" w:bidi="ar"/>
        </w:rPr>
        <w:t xml:space="preserve">9.6 </w:t>
      </w:r>
      <w:r>
        <w:rPr>
          <w:rFonts w:hint="eastAsia" w:asciiTheme="minorEastAsia" w:hAnsiTheme="minorEastAsia" w:eastAsiaTheme="minorEastAsia" w:cstheme="minorEastAsia"/>
          <w:color w:val="auto"/>
          <w:kern w:val="0"/>
          <w:sz w:val="24"/>
          <w:szCs w:val="24"/>
          <w:shd w:val="clear" w:color="auto" w:fill="FFFFFF"/>
          <w:lang w:bidi="ar"/>
        </w:rPr>
        <w:t>平方公里，建成区绿化覆盖率达</w:t>
      </w:r>
      <w:r>
        <w:rPr>
          <w:rFonts w:hint="eastAsia" w:asciiTheme="minorEastAsia" w:hAnsiTheme="minorEastAsia" w:eastAsiaTheme="minorEastAsia" w:cstheme="minorEastAsia"/>
          <w:color w:val="auto"/>
          <w:kern w:val="0"/>
          <w:sz w:val="24"/>
          <w:szCs w:val="24"/>
          <w:shd w:val="clear" w:color="auto" w:fill="FFFFFF"/>
          <w:lang w:val="en-US" w:eastAsia="zh-CN" w:bidi="ar"/>
        </w:rPr>
        <w:t>40.43</w:t>
      </w:r>
      <w:r>
        <w:rPr>
          <w:rFonts w:hint="eastAsia" w:asciiTheme="minorEastAsia" w:hAnsiTheme="minorEastAsia" w:eastAsiaTheme="minorEastAsia" w:cstheme="minorEastAsia"/>
          <w:color w:val="auto"/>
          <w:kern w:val="0"/>
          <w:sz w:val="24"/>
          <w:szCs w:val="24"/>
          <w:shd w:val="clear" w:color="auto" w:fill="FFFFFF"/>
          <w:lang w:bidi="ar"/>
        </w:rPr>
        <w:t>%；建成区绿地面积</w:t>
      </w:r>
      <w:r>
        <w:rPr>
          <w:rFonts w:hint="eastAsia" w:asciiTheme="minorEastAsia" w:hAnsiTheme="minorEastAsia" w:eastAsiaTheme="minorEastAsia" w:cstheme="minorEastAsia"/>
          <w:color w:val="auto"/>
          <w:kern w:val="0"/>
          <w:sz w:val="24"/>
          <w:szCs w:val="24"/>
          <w:shd w:val="clear" w:color="auto" w:fill="FFFFFF"/>
          <w:lang w:val="en-US" w:eastAsia="zh-CN" w:bidi="ar"/>
        </w:rPr>
        <w:t>349.31</w:t>
      </w:r>
      <w:r>
        <w:rPr>
          <w:rFonts w:hint="eastAsia" w:asciiTheme="minorEastAsia" w:hAnsiTheme="minorEastAsia" w:cstheme="minorEastAsia"/>
          <w:color w:val="auto"/>
          <w:kern w:val="0"/>
          <w:sz w:val="24"/>
          <w:szCs w:val="24"/>
          <w:shd w:val="clear" w:color="auto" w:fill="FFFFFF"/>
          <w:lang w:eastAsia="zh-CN" w:bidi="ar"/>
        </w:rPr>
        <w:t>公顷</w:t>
      </w:r>
      <w:r>
        <w:rPr>
          <w:rFonts w:hint="eastAsia" w:asciiTheme="minorEastAsia" w:hAnsiTheme="minorEastAsia" w:eastAsiaTheme="minorEastAsia" w:cstheme="minorEastAsia"/>
          <w:color w:val="auto"/>
          <w:kern w:val="0"/>
          <w:sz w:val="24"/>
          <w:szCs w:val="24"/>
          <w:shd w:val="clear" w:color="auto" w:fill="FFFFFF"/>
          <w:lang w:bidi="ar"/>
        </w:rPr>
        <w:t>，建成区绿地率达</w:t>
      </w:r>
      <w:r>
        <w:rPr>
          <w:rFonts w:hint="eastAsia" w:asciiTheme="minorEastAsia" w:hAnsiTheme="minorEastAsia" w:eastAsiaTheme="minorEastAsia" w:cstheme="minorEastAsia"/>
          <w:color w:val="auto"/>
          <w:kern w:val="0"/>
          <w:sz w:val="24"/>
          <w:szCs w:val="24"/>
          <w:shd w:val="clear" w:color="auto" w:fill="FFFFFF"/>
          <w:lang w:val="en-US" w:eastAsia="zh-CN" w:bidi="ar"/>
        </w:rPr>
        <w:t>36.39</w:t>
      </w:r>
      <w:r>
        <w:rPr>
          <w:rFonts w:hint="eastAsia" w:asciiTheme="minorEastAsia" w:hAnsiTheme="minorEastAsia" w:eastAsiaTheme="minorEastAsia" w:cstheme="minorEastAsia"/>
          <w:color w:val="auto"/>
          <w:kern w:val="0"/>
          <w:sz w:val="24"/>
          <w:szCs w:val="24"/>
          <w:shd w:val="clear" w:color="auto" w:fill="FFFFFF"/>
          <w:lang w:bidi="ar"/>
        </w:rPr>
        <w:t>%；建成区公园面积</w:t>
      </w:r>
      <w:r>
        <w:rPr>
          <w:rFonts w:hint="eastAsia" w:asciiTheme="minorEastAsia" w:hAnsiTheme="minorEastAsia" w:eastAsiaTheme="minorEastAsia" w:cstheme="minorEastAsia"/>
          <w:color w:val="auto"/>
          <w:kern w:val="0"/>
          <w:sz w:val="24"/>
          <w:szCs w:val="24"/>
          <w:shd w:val="clear" w:color="auto" w:fill="FFFFFF"/>
          <w:lang w:val="en-US" w:eastAsia="zh-CN" w:bidi="ar"/>
        </w:rPr>
        <w:t xml:space="preserve"> 122.45</w:t>
      </w:r>
      <w:r>
        <w:rPr>
          <w:rFonts w:hint="eastAsia" w:asciiTheme="minorEastAsia" w:hAnsiTheme="minorEastAsia" w:eastAsiaTheme="minorEastAsia" w:cstheme="minorEastAsia"/>
          <w:color w:val="auto"/>
          <w:kern w:val="0"/>
          <w:sz w:val="24"/>
          <w:szCs w:val="24"/>
          <w:shd w:val="clear" w:color="auto" w:fill="FFFFFF"/>
          <w:lang w:bidi="ar"/>
        </w:rPr>
        <w:t>公</w:t>
      </w:r>
      <w:r>
        <w:rPr>
          <w:rFonts w:hint="eastAsia" w:asciiTheme="minorEastAsia" w:hAnsiTheme="minorEastAsia" w:eastAsiaTheme="minorEastAsia" w:cstheme="minorEastAsia"/>
          <w:color w:val="auto"/>
          <w:kern w:val="0"/>
          <w:sz w:val="24"/>
          <w:szCs w:val="24"/>
          <w:shd w:val="clear" w:color="auto" w:fill="FFFFFF"/>
          <w:lang w:eastAsia="zh-CN" w:bidi="ar"/>
        </w:rPr>
        <w:t>顷</w:t>
      </w:r>
      <w:r>
        <w:rPr>
          <w:rFonts w:hint="eastAsia" w:asciiTheme="minorEastAsia" w:hAnsiTheme="minorEastAsia" w:eastAsiaTheme="minorEastAsia" w:cstheme="minorEastAsia"/>
          <w:color w:val="auto"/>
          <w:kern w:val="0"/>
          <w:sz w:val="24"/>
          <w:szCs w:val="24"/>
          <w:shd w:val="clear" w:color="auto" w:fill="FFFFFF"/>
          <w:lang w:bidi="ar"/>
        </w:rPr>
        <w:t>，建成区人均公园绿地面积为</w:t>
      </w:r>
      <w:r>
        <w:rPr>
          <w:rFonts w:hint="eastAsia" w:asciiTheme="minorEastAsia" w:hAnsiTheme="minorEastAsia" w:eastAsiaTheme="minorEastAsia" w:cstheme="minorEastAsia"/>
          <w:color w:val="auto"/>
          <w:kern w:val="0"/>
          <w:sz w:val="24"/>
          <w:szCs w:val="24"/>
          <w:shd w:val="clear" w:color="auto" w:fill="FFFFFF"/>
          <w:lang w:val="en-US" w:eastAsia="zh-CN" w:bidi="ar"/>
        </w:rPr>
        <w:t>11.66</w:t>
      </w:r>
      <w:r>
        <w:rPr>
          <w:rFonts w:hint="eastAsia" w:asciiTheme="minorEastAsia" w:hAnsiTheme="minorEastAsia" w:eastAsiaTheme="minorEastAsia" w:cstheme="minorEastAsia"/>
          <w:color w:val="auto"/>
          <w:kern w:val="0"/>
          <w:sz w:val="24"/>
          <w:szCs w:val="24"/>
          <w:shd w:val="clear" w:color="auto" w:fill="FFFFFF"/>
          <w:lang w:bidi="ar"/>
        </w:rPr>
        <w:t>平方米。</w:t>
      </w:r>
    </w:p>
    <w:p w14:paraId="2BB477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color="auto" w:fill="FFFFFF"/>
          <w:lang w:bidi="ar"/>
        </w:rPr>
      </w:pPr>
      <w:r>
        <w:rPr>
          <w:rFonts w:hint="eastAsia" w:asciiTheme="minorEastAsia" w:hAnsiTheme="minorEastAsia" w:eastAsiaTheme="minorEastAsia" w:cstheme="minorEastAsia"/>
          <w:color w:val="333333"/>
          <w:kern w:val="0"/>
          <w:sz w:val="24"/>
          <w:szCs w:val="24"/>
          <w:shd w:val="clear" w:color="auto" w:fill="FFFFFF"/>
          <w:lang w:bidi="ar"/>
        </w:rPr>
        <w:t>新建改建城市道路</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5.32 </w:t>
      </w:r>
      <w:r>
        <w:rPr>
          <w:rFonts w:hint="eastAsia" w:asciiTheme="minorEastAsia" w:hAnsiTheme="minorEastAsia" w:eastAsiaTheme="minorEastAsia" w:cstheme="minorEastAsia"/>
          <w:color w:val="333333"/>
          <w:kern w:val="0"/>
          <w:sz w:val="24"/>
          <w:szCs w:val="24"/>
          <w:shd w:val="clear" w:color="auto" w:fill="FFFFFF"/>
          <w:lang w:bidi="ar"/>
        </w:rPr>
        <w:t>公里，新建城市供热管网</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185 </w:t>
      </w:r>
      <w:r>
        <w:rPr>
          <w:rFonts w:hint="eastAsia" w:asciiTheme="minorEastAsia" w:hAnsiTheme="minorEastAsia" w:eastAsiaTheme="minorEastAsia" w:cstheme="minorEastAsia"/>
          <w:color w:val="333333"/>
          <w:kern w:val="0"/>
          <w:sz w:val="24"/>
          <w:szCs w:val="24"/>
          <w:shd w:val="clear" w:color="auto" w:fill="FFFFFF"/>
          <w:lang w:bidi="ar"/>
        </w:rPr>
        <w:t>公里，新增集中供热</w:t>
      </w:r>
      <w:r>
        <w:rPr>
          <w:rFonts w:hint="eastAsia" w:asciiTheme="minorEastAsia" w:hAnsiTheme="minorEastAsia" w:eastAsiaTheme="minorEastAsia" w:cstheme="minorEastAsia"/>
          <w:color w:val="333333"/>
          <w:kern w:val="0"/>
          <w:sz w:val="24"/>
          <w:szCs w:val="24"/>
          <w:shd w:val="clear" w:color="auto" w:fill="FFFFFF"/>
          <w:lang w:eastAsia="zh-CN" w:bidi="ar"/>
        </w:rPr>
        <w:t>覆盖</w:t>
      </w:r>
      <w:r>
        <w:rPr>
          <w:rFonts w:hint="eastAsia" w:asciiTheme="minorEastAsia" w:hAnsiTheme="minorEastAsia" w:eastAsiaTheme="minorEastAsia" w:cstheme="minorEastAsia"/>
          <w:color w:val="333333"/>
          <w:kern w:val="0"/>
          <w:sz w:val="24"/>
          <w:szCs w:val="24"/>
          <w:shd w:val="clear" w:color="auto" w:fill="FFFFFF"/>
          <w:lang w:bidi="ar"/>
        </w:rPr>
        <w:t>面积</w:t>
      </w:r>
      <w:r>
        <w:rPr>
          <w:rFonts w:hint="eastAsia" w:asciiTheme="minorEastAsia" w:hAnsiTheme="minorEastAsia" w:eastAsiaTheme="minorEastAsia" w:cstheme="minorEastAsia"/>
          <w:color w:val="333333"/>
          <w:kern w:val="0"/>
          <w:sz w:val="24"/>
          <w:szCs w:val="24"/>
          <w:shd w:val="clear" w:color="auto" w:fill="FFFFFF"/>
          <w:lang w:val="en-US" w:eastAsia="zh-CN" w:bidi="ar"/>
        </w:rPr>
        <w:t>200</w:t>
      </w:r>
      <w:r>
        <w:rPr>
          <w:rFonts w:hint="eastAsia" w:asciiTheme="minorEastAsia" w:hAnsiTheme="minorEastAsia" w:eastAsiaTheme="minorEastAsia" w:cstheme="minorEastAsia"/>
          <w:color w:val="333333"/>
          <w:kern w:val="0"/>
          <w:sz w:val="24"/>
          <w:szCs w:val="24"/>
          <w:shd w:val="clear" w:color="auto" w:fill="FFFFFF"/>
          <w:lang w:bidi="ar"/>
        </w:rPr>
        <w:t>万平方米，新建城市污水管网</w:t>
      </w:r>
      <w:r>
        <w:rPr>
          <w:rFonts w:hint="eastAsia" w:asciiTheme="minorEastAsia" w:hAnsiTheme="minorEastAsia" w:eastAsiaTheme="minorEastAsia" w:cstheme="minorEastAsia"/>
          <w:color w:val="333333"/>
          <w:kern w:val="0"/>
          <w:sz w:val="24"/>
          <w:szCs w:val="24"/>
          <w:shd w:val="clear" w:color="auto" w:fill="FFFFFF"/>
          <w:lang w:val="en-US" w:eastAsia="zh-CN" w:bidi="ar"/>
        </w:rPr>
        <w:t>12.6</w:t>
      </w:r>
      <w:r>
        <w:rPr>
          <w:rFonts w:hint="eastAsia" w:asciiTheme="minorEastAsia" w:hAnsiTheme="minorEastAsia" w:eastAsiaTheme="minorEastAsia" w:cstheme="minorEastAsia"/>
          <w:color w:val="333333"/>
          <w:kern w:val="0"/>
          <w:sz w:val="24"/>
          <w:szCs w:val="24"/>
          <w:shd w:val="clear" w:color="auto" w:fill="FFFFFF"/>
          <w:lang w:bidi="ar"/>
        </w:rPr>
        <w:t>公里，改造城市雨污合流管网</w:t>
      </w:r>
      <w:r>
        <w:rPr>
          <w:rFonts w:hint="eastAsia" w:asciiTheme="minorEastAsia" w:hAnsiTheme="minorEastAsia" w:eastAsiaTheme="minorEastAsia" w:cstheme="minorEastAsia"/>
          <w:color w:val="333333"/>
          <w:kern w:val="0"/>
          <w:sz w:val="24"/>
          <w:szCs w:val="24"/>
          <w:shd w:val="clear" w:color="auto" w:fill="FFFFFF"/>
          <w:lang w:val="en-US" w:eastAsia="zh-CN" w:bidi="ar"/>
        </w:rPr>
        <w:t>2.9</w:t>
      </w:r>
      <w:r>
        <w:rPr>
          <w:rFonts w:hint="eastAsia" w:asciiTheme="minorEastAsia" w:hAnsiTheme="minorEastAsia" w:eastAsiaTheme="minorEastAsia" w:cstheme="minorEastAsia"/>
          <w:color w:val="333333"/>
          <w:kern w:val="0"/>
          <w:sz w:val="24"/>
          <w:szCs w:val="24"/>
          <w:shd w:val="clear" w:color="auto" w:fill="FFFFFF"/>
          <w:lang w:bidi="ar"/>
        </w:rPr>
        <w:t>公里，县城建成区集中供热普及率达到</w:t>
      </w:r>
      <w:r>
        <w:rPr>
          <w:rFonts w:hint="eastAsia" w:asciiTheme="minorEastAsia" w:hAnsiTheme="minorEastAsia" w:eastAsiaTheme="minorEastAsia" w:cstheme="minorEastAsia"/>
          <w:color w:val="333333"/>
          <w:kern w:val="0"/>
          <w:sz w:val="24"/>
          <w:szCs w:val="24"/>
          <w:shd w:val="clear" w:color="auto" w:fill="FFFFFF"/>
          <w:lang w:val="en-US" w:eastAsia="zh-CN" w:bidi="ar"/>
        </w:rPr>
        <w:t>95</w:t>
      </w:r>
      <w:r>
        <w:rPr>
          <w:rFonts w:hint="eastAsia" w:asciiTheme="minorEastAsia" w:hAnsiTheme="minorEastAsia" w:eastAsiaTheme="minorEastAsia" w:cstheme="minorEastAsia"/>
          <w:color w:val="333333"/>
          <w:kern w:val="0"/>
          <w:sz w:val="24"/>
          <w:szCs w:val="24"/>
          <w:shd w:val="clear" w:color="auto" w:fill="FFFFFF"/>
          <w:lang w:bidi="ar"/>
        </w:rPr>
        <w:t>%。</w:t>
      </w:r>
    </w:p>
    <w:p w14:paraId="711556A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kern w:val="0"/>
          <w:sz w:val="24"/>
          <w:szCs w:val="24"/>
          <w:shd w:val="clear" w:color="auto" w:fill="FFFFFF"/>
          <w:lang w:bidi="ar"/>
          <w14:textFill>
            <w14:solidFill>
              <w14:schemeClr w14:val="tx1"/>
            </w14:solidFill>
          </w14:textFill>
        </w:rPr>
      </w:pPr>
      <w:r>
        <w:rPr>
          <w:rFonts w:hint="eastAsia" w:asciiTheme="minorEastAsia" w:hAnsiTheme="minorEastAsia" w:eastAsiaTheme="minorEastAsia" w:cstheme="minorEastAsia"/>
          <w:color w:val="333333"/>
          <w:kern w:val="0"/>
          <w:sz w:val="24"/>
          <w:szCs w:val="24"/>
          <w:shd w:val="clear" w:color="auto" w:fill="FFFFFF"/>
          <w:lang w:bidi="ar"/>
        </w:rPr>
        <w:t>全年全县用水总量</w:t>
      </w:r>
      <w:r>
        <w:rPr>
          <w:rFonts w:hint="eastAsia" w:asciiTheme="minorEastAsia" w:hAnsiTheme="minorEastAsia" w:eastAsiaTheme="minorEastAsia" w:cstheme="minorEastAsia"/>
          <w:color w:val="333333"/>
          <w:kern w:val="0"/>
          <w:sz w:val="24"/>
          <w:szCs w:val="24"/>
          <w:shd w:val="clear" w:color="auto" w:fill="FFFFFF"/>
          <w:lang w:val="en-US" w:eastAsia="zh-CN" w:bidi="ar"/>
        </w:rPr>
        <w:t>2984.74</w:t>
      </w:r>
      <w:r>
        <w:rPr>
          <w:rFonts w:hint="eastAsia" w:asciiTheme="minorEastAsia" w:hAnsiTheme="minorEastAsia" w:eastAsiaTheme="minorEastAsia" w:cstheme="minorEastAsia"/>
          <w:color w:val="333333"/>
          <w:kern w:val="0"/>
          <w:sz w:val="24"/>
          <w:szCs w:val="24"/>
          <w:shd w:val="clear" w:color="auto" w:fill="FFFFFF"/>
          <w:lang w:bidi="ar"/>
        </w:rPr>
        <w:t>万立方米，其中农业用水</w:t>
      </w:r>
      <w:r>
        <w:rPr>
          <w:rFonts w:hint="eastAsia" w:asciiTheme="minorEastAsia" w:hAnsiTheme="minorEastAsia" w:eastAsiaTheme="minorEastAsia" w:cstheme="minorEastAsia"/>
          <w:color w:val="333333"/>
          <w:kern w:val="0"/>
          <w:sz w:val="24"/>
          <w:szCs w:val="24"/>
          <w:shd w:val="clear" w:color="auto" w:fill="FFFFFF"/>
          <w:lang w:val="en-US" w:eastAsia="zh-CN" w:bidi="ar"/>
        </w:rPr>
        <w:t>543</w:t>
      </w:r>
      <w:r>
        <w:rPr>
          <w:rFonts w:hint="eastAsia" w:asciiTheme="minorEastAsia" w:hAnsiTheme="minorEastAsia" w:eastAsiaTheme="minorEastAsia" w:cstheme="minorEastAsia"/>
          <w:color w:val="333333"/>
          <w:kern w:val="0"/>
          <w:sz w:val="24"/>
          <w:szCs w:val="24"/>
          <w:shd w:val="clear" w:color="auto" w:fill="FFFFFF"/>
          <w:lang w:bidi="ar"/>
        </w:rPr>
        <w:t>万立方米，工业用水</w:t>
      </w:r>
      <w:r>
        <w:rPr>
          <w:rFonts w:hint="eastAsia" w:asciiTheme="minorEastAsia" w:hAnsiTheme="minorEastAsia" w:eastAsiaTheme="minorEastAsia" w:cstheme="minorEastAsia"/>
          <w:color w:val="333333"/>
          <w:kern w:val="0"/>
          <w:sz w:val="24"/>
          <w:szCs w:val="24"/>
          <w:shd w:val="clear" w:color="auto" w:fill="FFFFFF"/>
          <w:lang w:val="en-US" w:eastAsia="zh-CN" w:bidi="ar"/>
        </w:rPr>
        <w:t>991.57</w:t>
      </w:r>
      <w:r>
        <w:rPr>
          <w:rFonts w:hint="eastAsia" w:asciiTheme="minorEastAsia" w:hAnsiTheme="minorEastAsia" w:eastAsiaTheme="minorEastAsia" w:cstheme="minorEastAsia"/>
          <w:color w:val="333333"/>
          <w:kern w:val="0"/>
          <w:sz w:val="24"/>
          <w:szCs w:val="24"/>
          <w:shd w:val="clear" w:color="auto" w:fill="FFFFFF"/>
          <w:lang w:bidi="ar"/>
        </w:rPr>
        <w:t>万立方米;城镇生活用水</w:t>
      </w:r>
      <w:r>
        <w:rPr>
          <w:rFonts w:hint="eastAsia" w:asciiTheme="minorEastAsia" w:hAnsiTheme="minorEastAsia" w:eastAsiaTheme="minorEastAsia" w:cstheme="minorEastAsia"/>
          <w:color w:val="333333"/>
          <w:kern w:val="0"/>
          <w:sz w:val="24"/>
          <w:szCs w:val="24"/>
          <w:shd w:val="clear" w:color="auto" w:fill="FFFFFF"/>
          <w:lang w:val="en-US" w:eastAsia="zh-CN" w:bidi="ar"/>
        </w:rPr>
        <w:t>454.5</w:t>
      </w:r>
      <w:r>
        <w:rPr>
          <w:rFonts w:hint="eastAsia" w:asciiTheme="minorEastAsia" w:hAnsiTheme="minorEastAsia" w:eastAsiaTheme="minorEastAsia" w:cstheme="minorEastAsia"/>
          <w:color w:val="333333"/>
          <w:kern w:val="0"/>
          <w:sz w:val="24"/>
          <w:szCs w:val="24"/>
          <w:shd w:val="clear" w:color="auto" w:fill="FFFFFF"/>
          <w:lang w:bidi="ar"/>
        </w:rPr>
        <w:t>万立方米；农村生活用水</w:t>
      </w:r>
      <w:r>
        <w:rPr>
          <w:rFonts w:hint="eastAsia" w:asciiTheme="minorEastAsia" w:hAnsiTheme="minorEastAsia" w:eastAsiaTheme="minorEastAsia" w:cstheme="minorEastAsia"/>
          <w:color w:val="333333"/>
          <w:kern w:val="0"/>
          <w:sz w:val="24"/>
          <w:szCs w:val="24"/>
          <w:shd w:val="clear" w:color="auto" w:fill="FFFFFF"/>
          <w:lang w:val="en-US" w:eastAsia="zh-CN" w:bidi="ar"/>
        </w:rPr>
        <w:t>526</w:t>
      </w:r>
      <w:r>
        <w:rPr>
          <w:rFonts w:hint="eastAsia" w:asciiTheme="minorEastAsia" w:hAnsiTheme="minorEastAsia" w:eastAsiaTheme="minorEastAsia" w:cstheme="minorEastAsia"/>
          <w:color w:val="333333"/>
          <w:kern w:val="0"/>
          <w:sz w:val="24"/>
          <w:szCs w:val="24"/>
          <w:shd w:val="clear" w:color="auto" w:fill="FFFFFF"/>
          <w:lang w:bidi="ar"/>
        </w:rPr>
        <w:t>万立方米；三产用水</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152.67 </w:t>
      </w:r>
      <w:r>
        <w:rPr>
          <w:rFonts w:hint="eastAsia" w:asciiTheme="minorEastAsia" w:hAnsiTheme="minorEastAsia" w:eastAsiaTheme="minorEastAsia" w:cstheme="minorEastAsia"/>
          <w:color w:val="333333"/>
          <w:kern w:val="0"/>
          <w:sz w:val="24"/>
          <w:szCs w:val="24"/>
          <w:shd w:val="clear" w:color="auto" w:fill="FFFFFF"/>
          <w:lang w:bidi="ar"/>
        </w:rPr>
        <w:t>万立方米；生态用水</w:t>
      </w:r>
      <w:r>
        <w:rPr>
          <w:rFonts w:hint="eastAsia" w:asciiTheme="minorEastAsia" w:hAnsiTheme="minorEastAsia" w:eastAsiaTheme="minorEastAsia" w:cstheme="minorEastAsia"/>
          <w:color w:val="333333"/>
          <w:kern w:val="0"/>
          <w:sz w:val="24"/>
          <w:szCs w:val="24"/>
          <w:shd w:val="clear" w:color="auto" w:fill="FFFFFF"/>
          <w:lang w:val="en-US" w:eastAsia="zh-CN" w:bidi="ar"/>
        </w:rPr>
        <w:t>94</w:t>
      </w:r>
      <w:r>
        <w:rPr>
          <w:rFonts w:hint="eastAsia" w:asciiTheme="minorEastAsia" w:hAnsiTheme="minorEastAsia" w:eastAsiaTheme="minorEastAsia" w:cstheme="minorEastAsia"/>
          <w:color w:val="333333"/>
          <w:kern w:val="0"/>
          <w:sz w:val="24"/>
          <w:szCs w:val="24"/>
          <w:shd w:val="clear" w:color="auto" w:fill="FFFFFF"/>
          <w:lang w:bidi="ar"/>
        </w:rPr>
        <w:t>万立方米；建筑用水</w:t>
      </w:r>
      <w:r>
        <w:rPr>
          <w:rFonts w:hint="eastAsia" w:asciiTheme="minorEastAsia" w:hAnsiTheme="minorEastAsia" w:eastAsiaTheme="minorEastAsia" w:cstheme="minorEastAsia"/>
          <w:color w:val="333333"/>
          <w:kern w:val="0"/>
          <w:sz w:val="24"/>
          <w:szCs w:val="24"/>
          <w:shd w:val="clear" w:color="auto" w:fill="FFFFFF"/>
          <w:lang w:val="en-US" w:eastAsia="zh-CN" w:bidi="ar"/>
        </w:rPr>
        <w:t>79</w:t>
      </w:r>
      <w:r>
        <w:rPr>
          <w:rFonts w:hint="eastAsia" w:asciiTheme="minorEastAsia" w:hAnsiTheme="minorEastAsia" w:eastAsiaTheme="minorEastAsia" w:cstheme="minorEastAsia"/>
          <w:color w:val="333333"/>
          <w:kern w:val="0"/>
          <w:sz w:val="24"/>
          <w:szCs w:val="24"/>
          <w:shd w:val="clear" w:color="auto" w:fill="FFFFFF"/>
          <w:lang w:bidi="ar"/>
        </w:rPr>
        <w:t>万立方米。全年规模以上工业企业总耗水量</w:t>
      </w:r>
      <w:r>
        <w:rPr>
          <w:rFonts w:hint="eastAsia" w:asciiTheme="minorEastAsia" w:hAnsiTheme="minorEastAsia" w:eastAsiaTheme="minorEastAsia" w:cstheme="minorEastAsia"/>
          <w:color w:val="333333"/>
          <w:kern w:val="0"/>
          <w:sz w:val="24"/>
          <w:szCs w:val="24"/>
          <w:shd w:val="clear" w:color="auto" w:fill="FFFFFF"/>
          <w:lang w:val="en-US" w:eastAsia="zh-CN" w:bidi="ar"/>
        </w:rPr>
        <w:t>956</w:t>
      </w:r>
      <w:r>
        <w:rPr>
          <w:rFonts w:hint="eastAsia" w:asciiTheme="minorEastAsia" w:hAnsiTheme="minorEastAsia" w:eastAsiaTheme="minorEastAsia" w:cstheme="minorEastAsia"/>
          <w:color w:val="333333"/>
          <w:kern w:val="0"/>
          <w:sz w:val="24"/>
          <w:szCs w:val="24"/>
          <w:shd w:val="clear" w:color="auto" w:fill="FFFFFF"/>
          <w:lang w:bidi="ar"/>
        </w:rPr>
        <w:t>万立方米，万元地区生产总值耗水量</w:t>
      </w:r>
      <w:r>
        <w:rPr>
          <w:rFonts w:hint="eastAsia" w:asciiTheme="minorEastAsia" w:hAnsiTheme="minorEastAsia" w:eastAsiaTheme="minorEastAsia" w:cstheme="minorEastAsia"/>
          <w:color w:val="333333"/>
          <w:kern w:val="0"/>
          <w:sz w:val="24"/>
          <w:szCs w:val="24"/>
          <w:shd w:val="clear" w:color="auto" w:fill="FFFFFF"/>
          <w:lang w:val="en-US" w:eastAsia="zh-CN" w:bidi="ar"/>
        </w:rPr>
        <w:t>14.59</w:t>
      </w:r>
      <w:r>
        <w:rPr>
          <w:rFonts w:hint="eastAsia" w:asciiTheme="minorEastAsia" w:hAnsiTheme="minorEastAsia" w:eastAsiaTheme="minorEastAsia" w:cstheme="minorEastAsia"/>
          <w:color w:val="333333"/>
          <w:kern w:val="0"/>
          <w:sz w:val="24"/>
          <w:szCs w:val="24"/>
          <w:shd w:val="clear" w:color="auto" w:fill="FFFFFF"/>
          <w:lang w:bidi="ar"/>
        </w:rPr>
        <w:t>立方米/万元，</w:t>
      </w:r>
      <w:r>
        <w:rPr>
          <w:rFonts w:hint="eastAsia" w:asciiTheme="minorEastAsia" w:hAnsiTheme="minorEastAsia" w:eastAsiaTheme="minorEastAsia" w:cstheme="minorEastAsia"/>
          <w:color w:val="000000" w:themeColor="text1"/>
          <w:kern w:val="0"/>
          <w:sz w:val="24"/>
          <w:szCs w:val="24"/>
          <w:shd w:val="clear" w:color="auto" w:fill="FFFFFF"/>
          <w:lang w:bidi="ar"/>
          <w14:textFill>
            <w14:solidFill>
              <w14:schemeClr w14:val="tx1"/>
            </w14:solidFill>
          </w14:textFill>
        </w:rPr>
        <w:t>同比下降</w:t>
      </w:r>
      <w:r>
        <w:rPr>
          <w:rFonts w:hint="eastAsia" w:asciiTheme="minorEastAsia" w:hAnsiTheme="minorEastAsia" w:eastAsiaTheme="minorEastAsia" w:cstheme="minorEastAsia"/>
          <w:color w:val="000000" w:themeColor="text1"/>
          <w:kern w:val="0"/>
          <w:sz w:val="24"/>
          <w:szCs w:val="24"/>
          <w:shd w:val="clear" w:color="auto" w:fill="FFFFFF"/>
          <w:lang w:val="en-US" w:eastAsia="zh-CN" w:bidi="ar"/>
          <w14:textFill>
            <w14:solidFill>
              <w14:schemeClr w14:val="tx1"/>
            </w14:solidFill>
          </w14:textFill>
        </w:rPr>
        <w:t>25.6</w:t>
      </w:r>
      <w:r>
        <w:rPr>
          <w:rFonts w:hint="eastAsia" w:asciiTheme="minorEastAsia" w:hAnsiTheme="minorEastAsia" w:eastAsiaTheme="minorEastAsia" w:cstheme="minorEastAsia"/>
          <w:color w:val="000000" w:themeColor="text1"/>
          <w:kern w:val="0"/>
          <w:sz w:val="24"/>
          <w:szCs w:val="24"/>
          <w:shd w:val="clear" w:color="auto" w:fill="FFFFFF"/>
          <w:lang w:bidi="ar"/>
          <w14:textFill>
            <w14:solidFill>
              <w14:schemeClr w14:val="tx1"/>
            </w14:solidFill>
          </w14:textFill>
        </w:rPr>
        <w:t>%；万元工业增加值平均耗水量</w:t>
      </w:r>
      <w:r>
        <w:rPr>
          <w:rFonts w:hint="eastAsia" w:asciiTheme="minorEastAsia" w:hAnsiTheme="minorEastAsia" w:eastAsiaTheme="minorEastAsia" w:cstheme="minorEastAsia"/>
          <w:color w:val="000000" w:themeColor="text1"/>
          <w:kern w:val="0"/>
          <w:sz w:val="24"/>
          <w:szCs w:val="24"/>
          <w:shd w:val="clear" w:color="auto" w:fill="FFFFFF"/>
          <w:lang w:val="en-US" w:eastAsia="zh-CN" w:bidi="ar"/>
          <w14:textFill>
            <w14:solidFill>
              <w14:schemeClr w14:val="tx1"/>
            </w14:solidFill>
          </w14:textFill>
        </w:rPr>
        <w:t>7.2</w:t>
      </w:r>
      <w:r>
        <w:rPr>
          <w:rFonts w:hint="eastAsia" w:asciiTheme="minorEastAsia" w:hAnsiTheme="minorEastAsia" w:eastAsiaTheme="minorEastAsia" w:cstheme="minorEastAsia"/>
          <w:color w:val="000000" w:themeColor="text1"/>
          <w:kern w:val="0"/>
          <w:sz w:val="24"/>
          <w:szCs w:val="24"/>
          <w:shd w:val="clear" w:color="auto" w:fill="FFFFFF"/>
          <w:lang w:bidi="ar"/>
          <w14:textFill>
            <w14:solidFill>
              <w14:schemeClr w14:val="tx1"/>
            </w14:solidFill>
          </w14:textFill>
        </w:rPr>
        <w:t>立方米/万元，同比下降</w:t>
      </w:r>
      <w:r>
        <w:rPr>
          <w:rFonts w:hint="eastAsia" w:asciiTheme="minorEastAsia" w:hAnsiTheme="minorEastAsia" w:eastAsiaTheme="minorEastAsia" w:cstheme="minorEastAsia"/>
          <w:color w:val="000000" w:themeColor="text1"/>
          <w:kern w:val="0"/>
          <w:sz w:val="24"/>
          <w:szCs w:val="24"/>
          <w:shd w:val="clear" w:color="auto" w:fill="FFFFFF"/>
          <w:lang w:val="en-US" w:eastAsia="zh-CN" w:bidi="ar"/>
          <w14:textFill>
            <w14:solidFill>
              <w14:schemeClr w14:val="tx1"/>
            </w14:solidFill>
          </w14:textFill>
        </w:rPr>
        <w:t>32.8</w:t>
      </w:r>
      <w:r>
        <w:rPr>
          <w:rFonts w:hint="eastAsia" w:asciiTheme="minorEastAsia" w:hAnsiTheme="minorEastAsia" w:eastAsiaTheme="minorEastAsia" w:cstheme="minorEastAsia"/>
          <w:color w:val="000000" w:themeColor="text1"/>
          <w:kern w:val="0"/>
          <w:sz w:val="24"/>
          <w:szCs w:val="24"/>
          <w:shd w:val="clear" w:color="auto" w:fill="FFFFFF"/>
          <w:lang w:bidi="ar"/>
          <w14:textFill>
            <w14:solidFill>
              <w14:schemeClr w14:val="tx1"/>
            </w14:solidFill>
          </w14:textFill>
        </w:rPr>
        <w:t xml:space="preserve">%。  </w:t>
      </w:r>
    </w:p>
    <w:p w14:paraId="1225CD5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color="auto" w:fill="FFFFFF"/>
          <w:lang w:bidi="ar"/>
        </w:rPr>
        <w:t>农村安全饮水普及率</w:t>
      </w:r>
      <w:r>
        <w:rPr>
          <w:rFonts w:hint="eastAsia" w:asciiTheme="minorEastAsia" w:hAnsiTheme="minorEastAsia" w:eastAsiaTheme="minorEastAsia" w:cstheme="minorEastAsia"/>
          <w:color w:val="333333"/>
          <w:kern w:val="0"/>
          <w:sz w:val="24"/>
          <w:szCs w:val="24"/>
          <w:shd w:val="clear" w:color="auto" w:fill="FFFFFF"/>
          <w:lang w:val="en-US" w:eastAsia="zh-CN" w:bidi="ar"/>
        </w:rPr>
        <w:t xml:space="preserve">98 </w:t>
      </w:r>
      <w:r>
        <w:rPr>
          <w:rFonts w:hint="eastAsia" w:asciiTheme="minorEastAsia" w:hAnsiTheme="minorEastAsia" w:eastAsiaTheme="minorEastAsia" w:cstheme="minorEastAsia"/>
          <w:color w:val="333333"/>
          <w:kern w:val="0"/>
          <w:sz w:val="24"/>
          <w:szCs w:val="24"/>
          <w:shd w:val="clear" w:color="auto" w:fill="FFFFFF"/>
          <w:lang w:bidi="ar"/>
        </w:rPr>
        <w:t>%，城区自来水普及率</w:t>
      </w:r>
      <w:r>
        <w:rPr>
          <w:rFonts w:hint="eastAsia" w:asciiTheme="minorEastAsia" w:hAnsiTheme="minorEastAsia" w:eastAsiaTheme="minorEastAsia" w:cstheme="minorEastAsia"/>
          <w:color w:val="333333"/>
          <w:kern w:val="0"/>
          <w:sz w:val="24"/>
          <w:szCs w:val="24"/>
          <w:shd w:val="clear" w:color="auto" w:fill="FFFFFF"/>
          <w:lang w:val="en-US" w:eastAsia="zh-CN" w:bidi="ar"/>
        </w:rPr>
        <w:t>98</w:t>
      </w:r>
      <w:r>
        <w:rPr>
          <w:rFonts w:hint="eastAsia" w:asciiTheme="minorEastAsia" w:hAnsiTheme="minorEastAsia" w:eastAsiaTheme="minorEastAsia" w:cstheme="minorEastAsia"/>
          <w:color w:val="333333"/>
          <w:kern w:val="0"/>
          <w:sz w:val="24"/>
          <w:szCs w:val="24"/>
          <w:shd w:val="clear" w:color="auto" w:fill="FFFFFF"/>
          <w:lang w:bidi="ar"/>
        </w:rPr>
        <w:t>%。农村集中式供水人口受益率</w:t>
      </w:r>
      <w:r>
        <w:rPr>
          <w:rFonts w:hint="eastAsia" w:asciiTheme="minorEastAsia" w:hAnsiTheme="minorEastAsia" w:eastAsiaTheme="minorEastAsia" w:cstheme="minorEastAsia"/>
          <w:color w:val="333333"/>
          <w:kern w:val="0"/>
          <w:sz w:val="24"/>
          <w:szCs w:val="24"/>
          <w:shd w:val="clear" w:color="auto" w:fill="FFFFFF"/>
          <w:lang w:val="en-US" w:eastAsia="zh-CN" w:bidi="ar"/>
        </w:rPr>
        <w:t>92</w:t>
      </w:r>
      <w:r>
        <w:rPr>
          <w:rFonts w:hint="eastAsia" w:asciiTheme="minorEastAsia" w:hAnsiTheme="minorEastAsia" w:eastAsiaTheme="minorEastAsia" w:cstheme="minorEastAsia"/>
          <w:color w:val="333333"/>
          <w:kern w:val="0"/>
          <w:sz w:val="24"/>
          <w:szCs w:val="24"/>
          <w:shd w:val="clear" w:color="auto" w:fill="FFFFFF"/>
          <w:lang w:bidi="ar"/>
        </w:rPr>
        <w:t>%。</w:t>
      </w:r>
    </w:p>
    <w:p w14:paraId="7331F6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按《环境空气质量指数（AQI）技术规定（试行）（HJ633-2012）》评价，</w:t>
      </w:r>
      <w:r>
        <w:rPr>
          <w:rFonts w:hint="eastAsia" w:asciiTheme="minorEastAsia" w:hAnsiTheme="minorEastAsia" w:eastAsiaTheme="minorEastAsia" w:cstheme="minorEastAsia"/>
          <w:color w:val="auto"/>
          <w:kern w:val="0"/>
          <w:sz w:val="24"/>
          <w:szCs w:val="24"/>
          <w:shd w:val="clear" w:fill="FFFFFF"/>
          <w:lang w:val="en-US" w:eastAsia="zh-CN" w:bidi="ar"/>
        </w:rPr>
        <w:t>县区优良天气数达到217天，比上年增加24 天；</w:t>
      </w:r>
      <w:r>
        <w:rPr>
          <w:rFonts w:hint="eastAsia" w:asciiTheme="minorEastAsia" w:hAnsiTheme="minorEastAsia" w:eastAsiaTheme="minorEastAsia" w:cstheme="minorEastAsia"/>
          <w:color w:val="333333"/>
          <w:kern w:val="0"/>
          <w:sz w:val="24"/>
          <w:szCs w:val="24"/>
          <w:shd w:val="clear" w:fill="FFFFFF"/>
          <w:lang w:val="en-US" w:eastAsia="zh-CN" w:bidi="ar"/>
        </w:rPr>
        <w:t xml:space="preserve">环境空气质量综合指数7.16，全省排名第109位。 </w:t>
      </w:r>
    </w:p>
    <w:p w14:paraId="5596B4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全县未发生重大以上事故，安全生产形势总体平稳。 </w:t>
      </w:r>
    </w:p>
    <w:p w14:paraId="131CCF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  </w:t>
      </w:r>
    </w:p>
    <w:p w14:paraId="5AF67F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公报注释： </w:t>
      </w:r>
    </w:p>
    <w:p w14:paraId="704787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1.本公报部分数据为初步统计数据。 </w:t>
      </w:r>
    </w:p>
    <w:p w14:paraId="7DD9F0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2.本公报部分数据由相关部门提供。 </w:t>
      </w:r>
    </w:p>
    <w:p w14:paraId="3A9320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3.地区生产总值、各产业增加值绝对数按现价计算，增长速度按不变价格计算。 </w:t>
      </w:r>
    </w:p>
    <w:p w14:paraId="396926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4.除注明外，所有增长或下降速度均为同上年相比较。 </w:t>
      </w:r>
    </w:p>
    <w:p w14:paraId="4578A9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5.部分数据因四舍五入的原因，存在与分项合计不等的情况。 </w:t>
      </w:r>
    </w:p>
    <w:p w14:paraId="68F1E1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6.2019年起，工业生产者出厂价格、购进价格和农业生产资料价格使用全省数据。 </w:t>
      </w:r>
    </w:p>
    <w:p w14:paraId="3FBD71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7.国家统计局对三次产业和行业实行相对分离的划分标准，第一产业指农林牧渔业（不含农林牧渔服务业），第二产业指工业（不含开采辅助活动，金属制品、机械和设备修理业）和建筑业，第三产业指除第一产业、第二产业以外的其他行业。 </w:t>
      </w:r>
    </w:p>
    <w:p w14:paraId="45EACC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 xml:space="preserve">8.全国居民五等份收入分组是指将所有调查户按人均收入水平从低到高顺序排列，平均分为五个等份，处于最高20%的收入群体为高收入组，依此类推依次为中等偏上收入组、中等收入组、中等偏下收入组、低收入组。 </w:t>
      </w:r>
    </w:p>
    <w:p w14:paraId="1B7EB4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rPr>
        <w:t>9.</w:t>
      </w:r>
      <w:r>
        <w:rPr>
          <w:rFonts w:hint="eastAsia" w:asciiTheme="minorEastAsia" w:hAnsiTheme="minorEastAsia" w:eastAsiaTheme="minorEastAsia" w:cstheme="minorEastAsia"/>
          <w:color w:val="333333"/>
          <w:sz w:val="24"/>
          <w:szCs w:val="24"/>
          <w:shd w:val="clear" w:fill="FFFFFF"/>
          <w:lang w:eastAsia="zh-CN"/>
        </w:rPr>
        <w:t>县</w:t>
      </w:r>
      <w:r>
        <w:rPr>
          <w:rFonts w:hint="eastAsia" w:asciiTheme="minorEastAsia" w:hAnsiTheme="minorEastAsia" w:eastAsiaTheme="minorEastAsia" w:cstheme="minorEastAsia"/>
          <w:color w:val="333333"/>
          <w:sz w:val="24"/>
          <w:szCs w:val="24"/>
          <w:shd w:val="clear" w:fill="FFFFFF"/>
        </w:rPr>
        <w:t xml:space="preserve">区优良天气数按照实况统计。 </w:t>
      </w:r>
    </w:p>
    <w:p w14:paraId="47C16091">
      <w:pPr>
        <w:rPr>
          <w:rFonts w:hint="eastAsia" w:ascii="仿宋_GB2312" w:hAnsi="仿宋_GB2312" w:eastAsia="仿宋_GB2312" w:cs="仿宋_GB2312"/>
          <w:sz w:val="32"/>
          <w:szCs w:val="32"/>
        </w:rPr>
      </w:pPr>
    </w:p>
    <w:p w14:paraId="62A55EC2">
      <w:pPr>
        <w:rPr>
          <w:rFonts w:hint="eastAsia" w:ascii="仿宋_GB2312" w:hAnsi="仿宋_GB2312" w:eastAsia="仿宋_GB2312" w:cs="仿宋_GB2312"/>
          <w:sz w:val="32"/>
          <w:szCs w:val="32"/>
        </w:rPr>
      </w:pPr>
    </w:p>
    <w:p w14:paraId="7ABFE6E1">
      <w:pPr>
        <w:rPr>
          <w:rFonts w:hint="eastAsia" w:ascii="仿宋_GB2312" w:hAnsi="仿宋_GB2312" w:eastAsia="仿宋_GB2312" w:cs="仿宋_GB2312"/>
          <w:sz w:val="32"/>
          <w:szCs w:val="32"/>
        </w:rPr>
      </w:pPr>
    </w:p>
    <w:p w14:paraId="38225A61">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6"/>
          <w:szCs w:val="36"/>
        </w:rPr>
      </w:pPr>
    </w:p>
    <w:p w14:paraId="2E1AA3D3">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6"/>
          <w:szCs w:val="36"/>
        </w:rPr>
      </w:pPr>
    </w:p>
    <w:p w14:paraId="42D55115">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责任编辑：闫　莉</w:t>
      </w:r>
    </w:p>
    <w:p w14:paraId="75209E95">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任忠连</w:t>
      </w:r>
    </w:p>
    <w:p w14:paraId="53342E47">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孟　瑶</w:t>
      </w:r>
    </w:p>
    <w:p w14:paraId="0F025512">
      <w:pPr>
        <w:keepNext w:val="0"/>
        <w:keepLines w:val="0"/>
        <w:pageBreakBefore w:val="0"/>
        <w:kinsoku/>
        <w:wordWrap/>
        <w:overflowPunct/>
        <w:topLinePunct w:val="0"/>
        <w:autoSpaceDE/>
        <w:autoSpaceDN/>
        <w:bidi w:val="0"/>
        <w:adjustRightInd/>
        <w:spacing w:line="480" w:lineRule="auto"/>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冯翻秀</w:t>
      </w:r>
    </w:p>
    <w:p w14:paraId="42034C38">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14:paraId="4E8BA1AE">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14:paraId="7CB2C887">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14:paraId="19BD2EDA">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14:paraId="0EEC518B">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14:paraId="6F3E0EDD">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14:paraId="52DAB15F">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14:paraId="2440CA7A">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14:paraId="64AEA939">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14:paraId="2FF175F3">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14:paraId="36E768FD">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14:paraId="0C04F1DA">
      <w:pPr>
        <w:keepNext w:val="0"/>
        <w:keepLines w:val="0"/>
        <w:pageBreakBefore w:val="0"/>
        <w:kinsoku/>
        <w:wordWrap/>
        <w:overflowPunct/>
        <w:topLinePunct w:val="0"/>
        <w:autoSpaceDE/>
        <w:autoSpaceDN/>
        <w:bidi w:val="0"/>
        <w:adjustRightInd/>
        <w:spacing w:line="480" w:lineRule="auto"/>
        <w:textAlignment w:val="auto"/>
        <w:rPr>
          <w:rFonts w:hint="eastAsia" w:ascii="仿宋_GB2312" w:hAnsi="仿宋_GB2312" w:eastAsia="仿宋_GB2312" w:cs="仿宋_GB2312"/>
          <w:sz w:val="32"/>
          <w:szCs w:val="32"/>
        </w:rPr>
      </w:pPr>
    </w:p>
    <w:p w14:paraId="1125FE4F">
      <w:pPr>
        <w:keepNext w:val="0"/>
        <w:keepLines w:val="0"/>
        <w:pageBreakBefore w:val="0"/>
        <w:kinsoku/>
        <w:wordWrap w:val="0"/>
        <w:overflowPunct/>
        <w:topLinePunct w:val="0"/>
        <w:autoSpaceDE/>
        <w:autoSpaceDN/>
        <w:bidi w:val="0"/>
        <w:adjustRightInd/>
        <w:spacing w:line="480" w:lineRule="auto"/>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电话：4050686 </w:t>
      </w:r>
      <w:r>
        <w:rPr>
          <w:rFonts w:hint="eastAsia" w:ascii="仿宋_GB2312" w:hAnsi="仿宋_GB2312" w:eastAsia="仿宋_GB2312" w:cs="仿宋_GB2312"/>
          <w:sz w:val="32"/>
          <w:szCs w:val="32"/>
          <w:lang w:val="en-US" w:eastAsia="zh-CN"/>
        </w:rPr>
        <w:t xml:space="preserve"> </w:t>
      </w:r>
    </w:p>
    <w:p w14:paraId="59247632">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24DAB">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2604770</wp:posOffset>
              </wp:positionH>
              <wp:positionV relativeFrom="paragraph">
                <wp:posOffset>-82550</wp:posOffset>
              </wp:positionV>
              <wp:extent cx="130175" cy="2628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0175" cy="262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591C2">
                          <w:pPr>
                            <w:pStyle w:val="3"/>
                            <w:jc w:val="center"/>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1pt;margin-top:-6.5pt;height:20.7pt;width:10.25pt;mso-position-horizontal-relative:margin;z-index:251659264;mso-width-relative:page;mso-height-relative:page;" filled="f" stroked="f" coordsize="21600,21600" o:gfxdata="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ED70PZAAAACgEAAA8AAAAAAAAAAQAgAAAAIgAAAGRycy9kb3du&#10;cmV2LnhtbFBLAQIUABQAAAAIAIdO4kCpNa1xNwIAAGMEAAAOAAAAAAAAAAEAIAAAACgBAABkcnMv&#10;ZTJvRG9jLnhtbFBLBQYAAAAABgAGAFkBAADRBQAAAAA=&#10;">
              <v:fill on="f" focussize="0,0"/>
              <v:stroke on="f" weight="0.5pt"/>
              <v:imagedata o:title=""/>
              <o:lock v:ext="edit" aspectratio="f"/>
              <v:textbox inset="0mm,0mm,0mm,0mm">
                <w:txbxContent>
                  <w:p w14:paraId="4AD591C2">
                    <w:pPr>
                      <w:pStyle w:val="3"/>
                      <w:jc w:val="center"/>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194E"/>
    <w:rsid w:val="001F05C7"/>
    <w:rsid w:val="00512588"/>
    <w:rsid w:val="00571CA7"/>
    <w:rsid w:val="00F67A6E"/>
    <w:rsid w:val="017C65A7"/>
    <w:rsid w:val="01F70A85"/>
    <w:rsid w:val="02344E3B"/>
    <w:rsid w:val="02747CF8"/>
    <w:rsid w:val="03E557ED"/>
    <w:rsid w:val="0401343A"/>
    <w:rsid w:val="04840ECF"/>
    <w:rsid w:val="05B75F45"/>
    <w:rsid w:val="06520C6E"/>
    <w:rsid w:val="06C20110"/>
    <w:rsid w:val="06C67931"/>
    <w:rsid w:val="06CF1895"/>
    <w:rsid w:val="078B29EF"/>
    <w:rsid w:val="0824433D"/>
    <w:rsid w:val="08560AC3"/>
    <w:rsid w:val="089A02F5"/>
    <w:rsid w:val="08C667FB"/>
    <w:rsid w:val="0936287A"/>
    <w:rsid w:val="09620DDB"/>
    <w:rsid w:val="09BD4368"/>
    <w:rsid w:val="0A017FBB"/>
    <w:rsid w:val="0A2144A0"/>
    <w:rsid w:val="0A431CDD"/>
    <w:rsid w:val="0ACC7C97"/>
    <w:rsid w:val="0AF9756D"/>
    <w:rsid w:val="0B475AAB"/>
    <w:rsid w:val="0B5765F7"/>
    <w:rsid w:val="0B715A53"/>
    <w:rsid w:val="0B97149D"/>
    <w:rsid w:val="0C1C02BA"/>
    <w:rsid w:val="0C221FB8"/>
    <w:rsid w:val="0CBA3B56"/>
    <w:rsid w:val="0CD15A1C"/>
    <w:rsid w:val="0D162E95"/>
    <w:rsid w:val="0D7D4293"/>
    <w:rsid w:val="0DBF3B3D"/>
    <w:rsid w:val="0E4377BE"/>
    <w:rsid w:val="0EC966E2"/>
    <w:rsid w:val="0F761A27"/>
    <w:rsid w:val="0FDB1137"/>
    <w:rsid w:val="0FF8030B"/>
    <w:rsid w:val="10134410"/>
    <w:rsid w:val="101A72A0"/>
    <w:rsid w:val="1021184E"/>
    <w:rsid w:val="109E2F20"/>
    <w:rsid w:val="10BC638F"/>
    <w:rsid w:val="110958ED"/>
    <w:rsid w:val="11F15A5C"/>
    <w:rsid w:val="12125527"/>
    <w:rsid w:val="124C1A5C"/>
    <w:rsid w:val="13023FB9"/>
    <w:rsid w:val="13382895"/>
    <w:rsid w:val="1453020E"/>
    <w:rsid w:val="14B27C1A"/>
    <w:rsid w:val="154B29E9"/>
    <w:rsid w:val="15872DC0"/>
    <w:rsid w:val="15A82D30"/>
    <w:rsid w:val="16391605"/>
    <w:rsid w:val="16F32E8F"/>
    <w:rsid w:val="17B9088D"/>
    <w:rsid w:val="182922D4"/>
    <w:rsid w:val="189701F3"/>
    <w:rsid w:val="19297414"/>
    <w:rsid w:val="19831578"/>
    <w:rsid w:val="19A151B2"/>
    <w:rsid w:val="1A1063F0"/>
    <w:rsid w:val="1A14715E"/>
    <w:rsid w:val="1AFE1A91"/>
    <w:rsid w:val="1B3A4728"/>
    <w:rsid w:val="1BC756AC"/>
    <w:rsid w:val="1C2A55A2"/>
    <w:rsid w:val="1C611F7B"/>
    <w:rsid w:val="1CDA3BAA"/>
    <w:rsid w:val="1CDE5754"/>
    <w:rsid w:val="1E2D3042"/>
    <w:rsid w:val="1E862E6B"/>
    <w:rsid w:val="1F321CCB"/>
    <w:rsid w:val="1F4C3B38"/>
    <w:rsid w:val="1FC6755A"/>
    <w:rsid w:val="21774B25"/>
    <w:rsid w:val="21DD00CE"/>
    <w:rsid w:val="22220E67"/>
    <w:rsid w:val="22455214"/>
    <w:rsid w:val="22675466"/>
    <w:rsid w:val="22812213"/>
    <w:rsid w:val="22ED1AD6"/>
    <w:rsid w:val="23022075"/>
    <w:rsid w:val="23404D81"/>
    <w:rsid w:val="23725B5C"/>
    <w:rsid w:val="23F40A06"/>
    <w:rsid w:val="241616F8"/>
    <w:rsid w:val="25544C14"/>
    <w:rsid w:val="25A92C13"/>
    <w:rsid w:val="25CE17C6"/>
    <w:rsid w:val="25FE43D3"/>
    <w:rsid w:val="269D1823"/>
    <w:rsid w:val="270B51EC"/>
    <w:rsid w:val="273E0599"/>
    <w:rsid w:val="27F210C9"/>
    <w:rsid w:val="28B210E8"/>
    <w:rsid w:val="28BD4469"/>
    <w:rsid w:val="295A7CE9"/>
    <w:rsid w:val="29D9669F"/>
    <w:rsid w:val="29F5531E"/>
    <w:rsid w:val="2B503275"/>
    <w:rsid w:val="2B726559"/>
    <w:rsid w:val="2BBB6F5C"/>
    <w:rsid w:val="2BEC6CAC"/>
    <w:rsid w:val="2C122032"/>
    <w:rsid w:val="2C8E0C7F"/>
    <w:rsid w:val="2C9F5657"/>
    <w:rsid w:val="2CAB3140"/>
    <w:rsid w:val="2CC6002E"/>
    <w:rsid w:val="2D7B762A"/>
    <w:rsid w:val="2E0D22F8"/>
    <w:rsid w:val="2E1B786C"/>
    <w:rsid w:val="2E3A05DE"/>
    <w:rsid w:val="2E40189D"/>
    <w:rsid w:val="2E714106"/>
    <w:rsid w:val="2EFA7310"/>
    <w:rsid w:val="2F787EE6"/>
    <w:rsid w:val="300B1618"/>
    <w:rsid w:val="301363F1"/>
    <w:rsid w:val="30BB0E26"/>
    <w:rsid w:val="31163840"/>
    <w:rsid w:val="31306B8D"/>
    <w:rsid w:val="31536257"/>
    <w:rsid w:val="321A245A"/>
    <w:rsid w:val="32453E28"/>
    <w:rsid w:val="32B0194A"/>
    <w:rsid w:val="32BA432B"/>
    <w:rsid w:val="32E70F9E"/>
    <w:rsid w:val="33297A64"/>
    <w:rsid w:val="333F23BB"/>
    <w:rsid w:val="336E5E7D"/>
    <w:rsid w:val="33980BC5"/>
    <w:rsid w:val="34643C23"/>
    <w:rsid w:val="35226778"/>
    <w:rsid w:val="353D327F"/>
    <w:rsid w:val="371B2F9C"/>
    <w:rsid w:val="37A03C14"/>
    <w:rsid w:val="385931EF"/>
    <w:rsid w:val="388D143F"/>
    <w:rsid w:val="3A5B001F"/>
    <w:rsid w:val="3A9255E3"/>
    <w:rsid w:val="3AF53D3F"/>
    <w:rsid w:val="3B296F6F"/>
    <w:rsid w:val="3C5F1CC0"/>
    <w:rsid w:val="3C8D1305"/>
    <w:rsid w:val="3CE1217F"/>
    <w:rsid w:val="3D9F7DCA"/>
    <w:rsid w:val="3DC27689"/>
    <w:rsid w:val="3E1D0354"/>
    <w:rsid w:val="3E99268C"/>
    <w:rsid w:val="3EE357E1"/>
    <w:rsid w:val="3EF3624E"/>
    <w:rsid w:val="3F18799C"/>
    <w:rsid w:val="3F1E7758"/>
    <w:rsid w:val="3F5A74DF"/>
    <w:rsid w:val="3F7660CF"/>
    <w:rsid w:val="3FFC1AF6"/>
    <w:rsid w:val="3FFE3D79"/>
    <w:rsid w:val="40271849"/>
    <w:rsid w:val="405E3DBC"/>
    <w:rsid w:val="41053A57"/>
    <w:rsid w:val="4111121F"/>
    <w:rsid w:val="41D95285"/>
    <w:rsid w:val="42490B65"/>
    <w:rsid w:val="42D83B3F"/>
    <w:rsid w:val="4397771D"/>
    <w:rsid w:val="43D0137B"/>
    <w:rsid w:val="44A60D83"/>
    <w:rsid w:val="45FA0E41"/>
    <w:rsid w:val="45FC2C0A"/>
    <w:rsid w:val="466061E9"/>
    <w:rsid w:val="469B20B9"/>
    <w:rsid w:val="478C14C6"/>
    <w:rsid w:val="47AF7691"/>
    <w:rsid w:val="47EE53A5"/>
    <w:rsid w:val="48170DD7"/>
    <w:rsid w:val="487628E8"/>
    <w:rsid w:val="496F1388"/>
    <w:rsid w:val="4A327E58"/>
    <w:rsid w:val="4A78594A"/>
    <w:rsid w:val="4B634DAA"/>
    <w:rsid w:val="4CD97134"/>
    <w:rsid w:val="4D934F4A"/>
    <w:rsid w:val="4E036C3F"/>
    <w:rsid w:val="4E736551"/>
    <w:rsid w:val="4EEB0848"/>
    <w:rsid w:val="4F0579FE"/>
    <w:rsid w:val="4F4A654A"/>
    <w:rsid w:val="4F712840"/>
    <w:rsid w:val="4FD47E87"/>
    <w:rsid w:val="501160A1"/>
    <w:rsid w:val="533F34E6"/>
    <w:rsid w:val="53FC6A96"/>
    <w:rsid w:val="545B0892"/>
    <w:rsid w:val="54BA63CD"/>
    <w:rsid w:val="55285CB9"/>
    <w:rsid w:val="55812CD8"/>
    <w:rsid w:val="56ED7DF7"/>
    <w:rsid w:val="5700069D"/>
    <w:rsid w:val="5701130E"/>
    <w:rsid w:val="5758594B"/>
    <w:rsid w:val="57733875"/>
    <w:rsid w:val="579B4AEF"/>
    <w:rsid w:val="57E27C6E"/>
    <w:rsid w:val="57F66355"/>
    <w:rsid w:val="58B87507"/>
    <w:rsid w:val="590F2C88"/>
    <w:rsid w:val="591C2D10"/>
    <w:rsid w:val="59C67BE4"/>
    <w:rsid w:val="59ED6DC5"/>
    <w:rsid w:val="5A0C70B5"/>
    <w:rsid w:val="5A1D3A26"/>
    <w:rsid w:val="5AE1742A"/>
    <w:rsid w:val="5B5659EB"/>
    <w:rsid w:val="5B9A344D"/>
    <w:rsid w:val="5BDF75A1"/>
    <w:rsid w:val="5C5243D0"/>
    <w:rsid w:val="5CB96187"/>
    <w:rsid w:val="5E4649F2"/>
    <w:rsid w:val="5EC626FC"/>
    <w:rsid w:val="5F600EF3"/>
    <w:rsid w:val="5FE8436B"/>
    <w:rsid w:val="602F7384"/>
    <w:rsid w:val="60B447AA"/>
    <w:rsid w:val="63400DFB"/>
    <w:rsid w:val="637C1CB8"/>
    <w:rsid w:val="647D3F59"/>
    <w:rsid w:val="64895BC6"/>
    <w:rsid w:val="659F6ABF"/>
    <w:rsid w:val="65A03A66"/>
    <w:rsid w:val="65FB0076"/>
    <w:rsid w:val="66386026"/>
    <w:rsid w:val="663B07B0"/>
    <w:rsid w:val="66A13BC8"/>
    <w:rsid w:val="66C26748"/>
    <w:rsid w:val="66E64983"/>
    <w:rsid w:val="676F0CC9"/>
    <w:rsid w:val="692066BB"/>
    <w:rsid w:val="69DB2CB9"/>
    <w:rsid w:val="69DC208C"/>
    <w:rsid w:val="6A581D7D"/>
    <w:rsid w:val="6A8B7F2A"/>
    <w:rsid w:val="6B177B45"/>
    <w:rsid w:val="6B1B29BE"/>
    <w:rsid w:val="6B2B6563"/>
    <w:rsid w:val="6B344B54"/>
    <w:rsid w:val="6C336F30"/>
    <w:rsid w:val="6CB75128"/>
    <w:rsid w:val="6E087B37"/>
    <w:rsid w:val="6E2F026B"/>
    <w:rsid w:val="6E3479E5"/>
    <w:rsid w:val="6E79066B"/>
    <w:rsid w:val="6E7F5ED0"/>
    <w:rsid w:val="6EFC55BE"/>
    <w:rsid w:val="6F2D51A9"/>
    <w:rsid w:val="6F4C7908"/>
    <w:rsid w:val="6FB06F38"/>
    <w:rsid w:val="6FBF49C6"/>
    <w:rsid w:val="6FD80DB6"/>
    <w:rsid w:val="6FF82CA8"/>
    <w:rsid w:val="70386E51"/>
    <w:rsid w:val="705E14C2"/>
    <w:rsid w:val="70644CD5"/>
    <w:rsid w:val="70957BBE"/>
    <w:rsid w:val="722246D0"/>
    <w:rsid w:val="727F5174"/>
    <w:rsid w:val="72D00C00"/>
    <w:rsid w:val="730C2E7E"/>
    <w:rsid w:val="73182941"/>
    <w:rsid w:val="73582C58"/>
    <w:rsid w:val="73632C4A"/>
    <w:rsid w:val="73E8022F"/>
    <w:rsid w:val="751B4F5B"/>
    <w:rsid w:val="75482C5F"/>
    <w:rsid w:val="758E3827"/>
    <w:rsid w:val="75EB7069"/>
    <w:rsid w:val="75ED7037"/>
    <w:rsid w:val="76A43E80"/>
    <w:rsid w:val="76BC7275"/>
    <w:rsid w:val="76C41500"/>
    <w:rsid w:val="77270E20"/>
    <w:rsid w:val="778502ED"/>
    <w:rsid w:val="77F43A36"/>
    <w:rsid w:val="78274C7B"/>
    <w:rsid w:val="791A6DA8"/>
    <w:rsid w:val="7A33696B"/>
    <w:rsid w:val="7A7133D7"/>
    <w:rsid w:val="7B141534"/>
    <w:rsid w:val="7B5528E1"/>
    <w:rsid w:val="7B613794"/>
    <w:rsid w:val="7C0F0542"/>
    <w:rsid w:val="7C6D0165"/>
    <w:rsid w:val="7CD04DC8"/>
    <w:rsid w:val="7DBD1458"/>
    <w:rsid w:val="7DD13063"/>
    <w:rsid w:val="7E991785"/>
    <w:rsid w:val="7EE27115"/>
    <w:rsid w:val="7F1C0B9B"/>
    <w:rsid w:val="7F930928"/>
    <w:rsid w:val="7F9E7A34"/>
    <w:rsid w:val="7FB42E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7.png"/><Relationship Id="rId20" Type="http://schemas.openxmlformats.org/officeDocument/2006/relationships/chart" Target="charts/chart10.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chart" Target="charts/chart9.xml"/><Relationship Id="rId17" Type="http://schemas.openxmlformats.org/officeDocument/2006/relationships/image" Target="media/image5.png"/><Relationship Id="rId16" Type="http://schemas.openxmlformats.org/officeDocument/2006/relationships/chart" Target="charts/chart8.xml"/><Relationship Id="rId15" Type="http://schemas.openxmlformats.org/officeDocument/2006/relationships/image" Target="media/image4.png"/><Relationship Id="rId14" Type="http://schemas.openxmlformats.org/officeDocument/2006/relationships/chart" Target="charts/chart7.xml"/><Relationship Id="rId13" Type="http://schemas.openxmlformats.org/officeDocument/2006/relationships/image" Target="media/image3.png"/><Relationship Id="rId12" Type="http://schemas.openxmlformats.org/officeDocument/2006/relationships/chart" Target="charts/chart6.xml"/><Relationship Id="rId11" Type="http://schemas.openxmlformats.org/officeDocument/2006/relationships/image" Target="media/image2.png"/><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6611;&#26519;&#21439;2019&#24180;&#20844;&#25253;\2019&#24180;&#20844;&#25253;&#22270;&#34920;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26611;&#26519;&#21439;2019&#24180;&#20844;&#25253;\2019&#24180;&#20844;&#25253;&#22270;&#34920;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26611;&#26519;&#21439;2019&#24180;&#20844;&#25253;\2019&#24180;&#20844;&#25253;&#22270;&#3492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611;&#26519;&#21439;2019&#24180;&#20844;&#25253;\2019&#24180;&#20844;&#25253;&#22270;&#3492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6611;&#26519;&#21439;2019&#24180;&#20844;&#25253;\2019&#24180;&#20844;&#25253;&#22270;&#34920;1.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26611;&#26519;&#21439;2019&#24180;&#20844;&#25253;\2019&#24180;&#20844;&#25253;&#22270;&#34920;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6611;&#26519;&#21439;2019&#24180;&#20844;&#25253;\2019&#24180;&#20844;&#25253;&#22270;&#34920;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6611;&#26519;&#21439;2019&#24180;&#20844;&#25253;\2019&#24180;&#20844;&#25253;&#22270;&#34920;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26611;&#26519;&#21439;2019&#24180;&#20844;&#25253;\2019&#24180;&#20844;&#25253;&#22270;&#34920;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26611;&#26519;&#21439;2019&#24180;&#20844;&#25253;\2019&#24180;&#20844;&#25253;&#22270;&#349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[2019年公报图表1.xls]地区生产总值!$A$3</c:f>
              <c:strCache>
                <c:ptCount val="1"/>
                <c:pt idx="0">
                  <c:v>地区生产总值</c:v>
                </c:pt>
              </c:strCache>
            </c:strRef>
          </c:tx>
          <c:spPr>
            <a:solidFill>
              <a:schemeClr val="accent1"/>
            </a:solidFill>
            <a:ln>
              <a:noFill/>
            </a:ln>
            <a:effectLst/>
          </c:spPr>
          <c:invertIfNegative val="0"/>
          <c:dLbls>
            <c:dLbl>
              <c:idx val="1"/>
              <c:layout>
                <c:manualLayout>
                  <c:x val="0.0209923664122137"/>
                  <c:y val="0.019112338076024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[2019年公报图表1.xls]地区生产总值!$B$2:$F$2</c:f>
              <c:strCache>
                <c:ptCount val="5"/>
                <c:pt idx="0">
                  <c:v>2015年</c:v>
                </c:pt>
                <c:pt idx="1">
                  <c:v>2016年</c:v>
                </c:pt>
                <c:pt idx="2">
                  <c:v>2017年</c:v>
                </c:pt>
                <c:pt idx="3">
                  <c:v>2018年</c:v>
                </c:pt>
                <c:pt idx="4">
                  <c:v>2019年</c:v>
                </c:pt>
              </c:strCache>
            </c:strRef>
          </c:cat>
          <c:val>
            <c:numRef>
              <c:f>[2019年公报图表1.xls]地区生产总值!$B$3:$F$3</c:f>
              <c:numCache>
                <c:formatCode>General</c:formatCode>
                <c:ptCount val="5"/>
                <c:pt idx="0">
                  <c:v>120.8</c:v>
                </c:pt>
                <c:pt idx="1">
                  <c:v>121.8</c:v>
                </c:pt>
                <c:pt idx="2">
                  <c:v>175.8</c:v>
                </c:pt>
                <c:pt idx="3">
                  <c:v>206.5</c:v>
                </c:pt>
                <c:pt idx="4">
                  <c:v>204.6</c:v>
                </c:pt>
              </c:numCache>
            </c:numRef>
          </c:val>
        </c:ser>
        <c:dLbls>
          <c:showLegendKey val="0"/>
          <c:showVal val="0"/>
          <c:showCatName val="0"/>
          <c:showSerName val="0"/>
          <c:showPercent val="0"/>
          <c:showBubbleSize val="0"/>
        </c:dLbls>
        <c:gapWidth val="219"/>
        <c:overlap val="-27"/>
        <c:axId val="785290349"/>
        <c:axId val="323023180"/>
      </c:barChart>
      <c:lineChart>
        <c:grouping val="standard"/>
        <c:varyColors val="0"/>
        <c:ser>
          <c:idx val="1"/>
          <c:order val="1"/>
          <c:tx>
            <c:strRef>
              <c:f>[2019年公报图表1.xls]地区生产总值!$A$4</c:f>
              <c:strCache>
                <c:ptCount val="1"/>
                <c:pt idx="0">
                  <c:v>增长速度</c:v>
                </c:pt>
              </c:strCache>
            </c:strRef>
          </c:tx>
          <c:spPr>
            <a:ln w="28575" cap="rnd" cmpd="sng" algn="ctr">
              <a:solidFill>
                <a:schemeClr val="accent2"/>
              </a:solidFill>
              <a:prstDash val="sysDash"/>
              <a:round/>
            </a:ln>
            <a:effectLst/>
          </c:spPr>
          <c:marker>
            <c:symbol val="none"/>
          </c:marker>
          <c:dLbls>
            <c:dLbl>
              <c:idx val="1"/>
              <c:layout>
                <c:manualLayout>
                  <c:x val="-0.0648854961832061"/>
                  <c:y val="-0.038224676152049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19847328244275"/>
                  <c:y val="-0.028668507114036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14503816793893"/>
                  <c:y val="0.0063707793586748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[2019年公报图表1.xls]地区生产总值!$B$2:$F$2</c:f>
              <c:strCache>
                <c:ptCount val="5"/>
                <c:pt idx="0">
                  <c:v>2015年</c:v>
                </c:pt>
                <c:pt idx="1">
                  <c:v>2016年</c:v>
                </c:pt>
                <c:pt idx="2">
                  <c:v>2017年</c:v>
                </c:pt>
                <c:pt idx="3">
                  <c:v>2018年</c:v>
                </c:pt>
                <c:pt idx="4">
                  <c:v>2019年</c:v>
                </c:pt>
              </c:strCache>
            </c:strRef>
          </c:cat>
          <c:val>
            <c:numRef>
              <c:f>[2019年公报图表1.xls]地区生产总值!$B$4:$F$4</c:f>
              <c:numCache>
                <c:formatCode>General</c:formatCode>
                <c:ptCount val="5"/>
                <c:pt idx="0">
                  <c:v>-9.8</c:v>
                </c:pt>
                <c:pt idx="1">
                  <c:v>5.3</c:v>
                </c:pt>
                <c:pt idx="2">
                  <c:v>16.1</c:v>
                </c:pt>
                <c:pt idx="3" c:formatCode="0.0_ ">
                  <c:v>7</c:v>
                </c:pt>
                <c:pt idx="4" c:formatCode="0.0_ ">
                  <c:v>-4.2</c:v>
                </c:pt>
              </c:numCache>
            </c:numRef>
          </c:val>
          <c:smooth val="0"/>
        </c:ser>
        <c:dLbls>
          <c:showLegendKey val="0"/>
          <c:showVal val="0"/>
          <c:showCatName val="0"/>
          <c:showSerName val="0"/>
          <c:showPercent val="0"/>
          <c:showBubbleSize val="0"/>
        </c:dLbls>
        <c:marker val="0"/>
        <c:smooth val="0"/>
        <c:axId val="434489323"/>
        <c:axId val="387433389"/>
      </c:lineChart>
      <c:catAx>
        <c:axId val="785290349"/>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3023180"/>
        <c:crosses val="autoZero"/>
        <c:auto val="1"/>
        <c:lblAlgn val="ctr"/>
        <c:lblOffset val="100"/>
        <c:noMultiLvlLbl val="0"/>
      </c:catAx>
      <c:valAx>
        <c:axId val="3230231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5290349"/>
        <c:crosses val="autoZero"/>
        <c:crossBetween val="between"/>
      </c:valAx>
      <c:catAx>
        <c:axId val="434489323"/>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387433389"/>
        <c:crosses val="autoZero"/>
        <c:auto val="1"/>
        <c:lblAlgn val="ctr"/>
        <c:lblOffset val="100"/>
        <c:noMultiLvlLbl val="0"/>
      </c:catAx>
      <c:valAx>
        <c:axId val="387433389"/>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4489323"/>
        <c:crosses val="max"/>
        <c:crossBetween val="between"/>
      </c:valAx>
      <c:spPr>
        <a:noFill/>
        <a:ln>
          <a:noFill/>
        </a:ln>
        <a:effectLst/>
      </c:spPr>
    </c:plotArea>
    <c:legend>
      <c:legendPos val="b"/>
      <c:layout>
        <c:manualLayout>
          <c:xMode val="edge"/>
          <c:yMode val="edge"/>
          <c:x val="0.31575"/>
          <c:y val="0.90375"/>
          <c:w val="0.36825"/>
          <c:h val="0.070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df34e24-7125-421d-9c11-cceccf1336ca}"/>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'[2019年公报图表1.xls]农村居民人均可支配 '!$A$3</c:f>
              <c:strCache>
                <c:ptCount val="1"/>
                <c:pt idx="0">
                  <c:v>农村居民人均可支配收入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'[2019年公报图表1.xls]农村居民人均可支配 '!$B$2:$F$2</c:f>
              <c:strCache>
                <c:ptCount val="5"/>
                <c:pt idx="0">
                  <c:v>2015年</c:v>
                </c:pt>
                <c:pt idx="1">
                  <c:v>2016年</c:v>
                </c:pt>
                <c:pt idx="2">
                  <c:v>2017年</c:v>
                </c:pt>
                <c:pt idx="3">
                  <c:v>2018年</c:v>
                </c:pt>
                <c:pt idx="4">
                  <c:v>2019年</c:v>
                </c:pt>
              </c:strCache>
            </c:strRef>
          </c:cat>
          <c:val>
            <c:numRef>
              <c:f>'[2019年公报图表1.xls]农村居民人均可支配 '!$B$3:$F$3</c:f>
              <c:numCache>
                <c:formatCode>General</c:formatCode>
                <c:ptCount val="5"/>
                <c:pt idx="0">
                  <c:v>9974</c:v>
                </c:pt>
                <c:pt idx="1">
                  <c:v>10583</c:v>
                </c:pt>
                <c:pt idx="2">
                  <c:v>11408</c:v>
                </c:pt>
                <c:pt idx="3">
                  <c:v>12172</c:v>
                </c:pt>
                <c:pt idx="4">
                  <c:v>13317</c:v>
                </c:pt>
              </c:numCache>
            </c:numRef>
          </c:val>
        </c:ser>
        <c:dLbls>
          <c:showLegendKey val="0"/>
          <c:showVal val="0"/>
          <c:showCatName val="0"/>
          <c:showSerName val="0"/>
          <c:showPercent val="0"/>
          <c:showBubbleSize val="0"/>
        </c:dLbls>
        <c:gapWidth val="219"/>
        <c:overlap val="-27"/>
        <c:axId val="313800542"/>
        <c:axId val="264600944"/>
      </c:barChart>
      <c:lineChart>
        <c:grouping val="standard"/>
        <c:varyColors val="0"/>
        <c:ser>
          <c:idx val="1"/>
          <c:order val="1"/>
          <c:tx>
            <c:strRef>
              <c:f>'[2019年公报图表1.xls]农村居民人均可支配 '!$A$4</c:f>
              <c:strCache>
                <c:ptCount val="1"/>
                <c:pt idx="0">
                  <c:v>增长速度</c:v>
                </c:pt>
              </c:strCache>
            </c:strRef>
          </c:tx>
          <c:spPr>
            <a:ln w="28575" cap="rnd" cmpd="sng" algn="ctr">
              <a:solidFill>
                <a:schemeClr val="accent2"/>
              </a:solidFill>
              <a:prstDash val="solid"/>
              <a:round/>
            </a:ln>
            <a:effectLst/>
          </c:spPr>
          <c:marker>
            <c:symbol val="none"/>
          </c:marker>
          <c:dLbls>
            <c:dLbl>
              <c:idx val="0"/>
              <c:layout>
                <c:manualLayout>
                  <c:x val="0.0147681878707178"/>
                  <c:y val="0.035722210875529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36787313884518"/>
                  <c:y val="0.0177554184233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58576443529839"/>
                  <c:y val="-0.01183694561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8576443529839"/>
                  <c:y val="-0.0040161065481364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24682241859339"/>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'[2019年公报图表1.xls]农村居民人均可支配 '!$B$2:$F$2</c:f>
              <c:strCache>
                <c:ptCount val="5"/>
                <c:pt idx="0">
                  <c:v>2015年</c:v>
                </c:pt>
                <c:pt idx="1">
                  <c:v>2016年</c:v>
                </c:pt>
                <c:pt idx="2">
                  <c:v>2017年</c:v>
                </c:pt>
                <c:pt idx="3">
                  <c:v>2018年</c:v>
                </c:pt>
                <c:pt idx="4">
                  <c:v>2019年</c:v>
                </c:pt>
              </c:strCache>
            </c:strRef>
          </c:cat>
          <c:val>
            <c:numRef>
              <c:f>'[2019年公报图表1.xls]农村居民人均可支配 '!$B$4:$F$4</c:f>
              <c:numCache>
                <c:formatCode>0.0_ </c:formatCode>
                <c:ptCount val="5"/>
                <c:pt idx="0">
                  <c:v>5.9</c:v>
                </c:pt>
                <c:pt idx="1">
                  <c:v>6.1</c:v>
                </c:pt>
                <c:pt idx="2">
                  <c:v>7.8</c:v>
                </c:pt>
                <c:pt idx="3">
                  <c:v>6.7</c:v>
                </c:pt>
                <c:pt idx="4">
                  <c:v>9.4</c:v>
                </c:pt>
              </c:numCache>
            </c:numRef>
          </c:val>
          <c:smooth val="0"/>
        </c:ser>
        <c:dLbls>
          <c:showLegendKey val="0"/>
          <c:showVal val="0"/>
          <c:showCatName val="0"/>
          <c:showSerName val="0"/>
          <c:showPercent val="0"/>
          <c:showBubbleSize val="0"/>
        </c:dLbls>
        <c:marker val="0"/>
        <c:smooth val="0"/>
        <c:axId val="634161636"/>
        <c:axId val="351503329"/>
      </c:lineChart>
      <c:catAx>
        <c:axId val="31380054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4600944"/>
        <c:crosses val="autoZero"/>
        <c:auto val="1"/>
        <c:lblAlgn val="ctr"/>
        <c:lblOffset val="100"/>
        <c:noMultiLvlLbl val="0"/>
      </c:catAx>
      <c:valAx>
        <c:axId val="2646009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3800542"/>
        <c:crosses val="autoZero"/>
        <c:crossBetween val="between"/>
      </c:valAx>
      <c:catAx>
        <c:axId val="634161636"/>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351503329"/>
        <c:crosses val="autoZero"/>
        <c:auto val="1"/>
        <c:lblAlgn val="ctr"/>
        <c:lblOffset val="100"/>
        <c:noMultiLvlLbl val="0"/>
      </c:catAx>
      <c:valAx>
        <c:axId val="351503329"/>
        <c:scaling>
          <c:orientation val="minMax"/>
        </c:scaling>
        <c:delete val="0"/>
        <c:axPos val="r"/>
        <c:numFmt formatCode="0.0_ "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161636"/>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b613b31-041d-4040-9dae-8967a615b8d5}"/>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[2019年公报图表1.xls]一般公共预算收入!$A$3</c:f>
              <c:strCache>
                <c:ptCount val="1"/>
                <c:pt idx="0">
                  <c:v>一般公共预算收入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[2019年公报图表1.xls]一般公共预算收入!$B$2:$F$2</c:f>
              <c:strCache>
                <c:ptCount val="5"/>
                <c:pt idx="0">
                  <c:v>2015年</c:v>
                </c:pt>
                <c:pt idx="1">
                  <c:v>2016年</c:v>
                </c:pt>
                <c:pt idx="2">
                  <c:v>2017年</c:v>
                </c:pt>
                <c:pt idx="3">
                  <c:v>2018年</c:v>
                </c:pt>
                <c:pt idx="4">
                  <c:v>2019年</c:v>
                </c:pt>
              </c:strCache>
            </c:strRef>
          </c:cat>
          <c:val>
            <c:numRef>
              <c:f>[2019年公报图表1.xls]一般公共预算收入!$B$3:$F$3</c:f>
              <c:numCache>
                <c:formatCode>General</c:formatCode>
                <c:ptCount val="5"/>
                <c:pt idx="0">
                  <c:v>11.02</c:v>
                </c:pt>
                <c:pt idx="1">
                  <c:v>10.69</c:v>
                </c:pt>
                <c:pt idx="2">
                  <c:v>24.07</c:v>
                </c:pt>
                <c:pt idx="3">
                  <c:v>30.5</c:v>
                </c:pt>
                <c:pt idx="4">
                  <c:v>28.8</c:v>
                </c:pt>
              </c:numCache>
            </c:numRef>
          </c:val>
        </c:ser>
        <c:dLbls>
          <c:showLegendKey val="0"/>
          <c:showVal val="0"/>
          <c:showCatName val="0"/>
          <c:showSerName val="0"/>
          <c:showPercent val="0"/>
          <c:showBubbleSize val="0"/>
        </c:dLbls>
        <c:gapWidth val="219"/>
        <c:overlap val="-27"/>
        <c:axId val="349683090"/>
        <c:axId val="47582436"/>
      </c:barChart>
      <c:lineChart>
        <c:grouping val="standard"/>
        <c:varyColors val="0"/>
        <c:ser>
          <c:idx val="1"/>
          <c:order val="1"/>
          <c:tx>
            <c:strRef>
              <c:f>[2019年公报图表1.xls]一般公共预算收入!$A$4</c:f>
              <c:strCache>
                <c:ptCount val="1"/>
                <c:pt idx="0">
                  <c:v>增长速度</c:v>
                </c:pt>
              </c:strCache>
            </c:strRef>
          </c:tx>
          <c:spPr>
            <a:ln w="28575" cap="rnd" cmpd="sng" algn="ctr">
              <a:solidFill>
                <a:schemeClr val="accent2"/>
              </a:solidFill>
              <a:prstDash val="sysDash"/>
              <a:round/>
            </a:ln>
            <a:effectLst/>
          </c:spPr>
          <c:marker>
            <c:symbol val="none"/>
          </c:marker>
          <c:dLbls>
            <c:dLbl>
              <c:idx val="0"/>
              <c:layout>
                <c:manualLayout>
                  <c:x val="0.0171526586620926"/>
                  <c:y val="0.0086471944657955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63121783876501"/>
                  <c:y val="-0.03170637970791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05831903945112"/>
                  <c:y val="-0.0086471944657955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54373927958834"/>
                  <c:y val="0.0028823981552651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[2019年公报图表1.xls]一般公共预算收入!$B$2:$F$2</c:f>
              <c:strCache>
                <c:ptCount val="5"/>
                <c:pt idx="0">
                  <c:v>2015年</c:v>
                </c:pt>
                <c:pt idx="1">
                  <c:v>2016年</c:v>
                </c:pt>
                <c:pt idx="2">
                  <c:v>2017年</c:v>
                </c:pt>
                <c:pt idx="3">
                  <c:v>2018年</c:v>
                </c:pt>
                <c:pt idx="4">
                  <c:v>2019年</c:v>
                </c:pt>
              </c:strCache>
            </c:strRef>
          </c:cat>
          <c:val>
            <c:numRef>
              <c:f>[2019年公报图表1.xls]一般公共预算收入!$B$4:$F$4</c:f>
              <c:numCache>
                <c:formatCode>General</c:formatCode>
                <c:ptCount val="5"/>
                <c:pt idx="0">
                  <c:v>-47.6</c:v>
                </c:pt>
                <c:pt idx="1">
                  <c:v>-2.9</c:v>
                </c:pt>
                <c:pt idx="2" c:formatCode="0.0_ ">
                  <c:v>125</c:v>
                </c:pt>
                <c:pt idx="3">
                  <c:v>26.7</c:v>
                </c:pt>
                <c:pt idx="4">
                  <c:v>-5.7</c:v>
                </c:pt>
              </c:numCache>
            </c:numRef>
          </c:val>
          <c:smooth val="0"/>
        </c:ser>
        <c:dLbls>
          <c:showLegendKey val="0"/>
          <c:showVal val="0"/>
          <c:showCatName val="0"/>
          <c:showSerName val="0"/>
          <c:showPercent val="0"/>
          <c:showBubbleSize val="0"/>
        </c:dLbls>
        <c:marker val="0"/>
        <c:smooth val="0"/>
        <c:axId val="579926819"/>
        <c:axId val="384239882"/>
      </c:lineChart>
      <c:catAx>
        <c:axId val="34968309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82436"/>
        <c:crosses val="autoZero"/>
        <c:auto val="1"/>
        <c:lblAlgn val="ctr"/>
        <c:lblOffset val="100"/>
        <c:noMultiLvlLbl val="0"/>
      </c:catAx>
      <c:valAx>
        <c:axId val="475824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9683090"/>
        <c:crosses val="autoZero"/>
        <c:crossBetween val="between"/>
      </c:valAx>
      <c:catAx>
        <c:axId val="579926819"/>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384239882"/>
        <c:crosses val="autoZero"/>
        <c:auto val="1"/>
        <c:lblAlgn val="ctr"/>
        <c:lblOffset val="100"/>
        <c:noMultiLvlLbl val="0"/>
      </c:catAx>
      <c:valAx>
        <c:axId val="384239882"/>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9926819"/>
        <c:crosses val="max"/>
        <c:crossBetween val="between"/>
      </c:valAx>
      <c:spPr>
        <a:noFill/>
        <a:ln>
          <a:noFill/>
        </a:ln>
        <a:effectLst/>
      </c:spPr>
    </c:plotArea>
    <c:legend>
      <c:legendPos val="b"/>
      <c:layout>
        <c:manualLayout>
          <c:xMode val="edge"/>
          <c:yMode val="edge"/>
          <c:x val="0.31375"/>
          <c:y val="0.91275"/>
          <c:w val="0.372"/>
          <c:h val="0.063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34ccf23-dd29-48e1-8670-72230cc344e3}"/>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lineChart>
        <c:grouping val="standard"/>
        <c:varyColors val="0"/>
        <c:ser>
          <c:idx val="0"/>
          <c:order val="0"/>
          <c:tx>
            <c:strRef>
              <c:f>[2019年公报图表1.xls]价格比上年涨跌幅度!$A$3</c:f>
              <c:strCache>
                <c:ptCount val="1"/>
                <c:pt idx="0">
                  <c:v>居民消费价格</c:v>
                </c:pt>
              </c:strCache>
            </c:strRef>
          </c:tx>
          <c:spPr>
            <a:ln w="28575" cap="rnd" cmpd="sng" algn="ctr">
              <a:solidFill>
                <a:schemeClr val="accent1"/>
              </a:solidFill>
              <a:prstDash val="solid"/>
              <a:round/>
            </a:ln>
            <a:effectLst/>
          </c:spPr>
          <c:marker>
            <c:symbol val="none"/>
          </c:marker>
          <c:dLbls>
            <c:dLbl>
              <c:idx val="1"/>
              <c:layout>
                <c:manualLayout>
                  <c:x val="-0.00416666666666667"/>
                  <c:y val="0.1145833333333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125"/>
                  <c:y val="0.079861111111111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[2019年公报图表1.xls]价格比上年涨跌幅度!$B$2:$F$2</c:f>
              <c:strCache>
                <c:ptCount val="5"/>
                <c:pt idx="0">
                  <c:v>2015年</c:v>
                </c:pt>
                <c:pt idx="1">
                  <c:v>2016年</c:v>
                </c:pt>
                <c:pt idx="2">
                  <c:v>2017年</c:v>
                </c:pt>
                <c:pt idx="3">
                  <c:v>2018年</c:v>
                </c:pt>
                <c:pt idx="4">
                  <c:v>2019年</c:v>
                </c:pt>
              </c:strCache>
            </c:strRef>
          </c:cat>
          <c:val>
            <c:numRef>
              <c:f>[2019年公报图表1.xls]价格比上年涨跌幅度!$B$3:$F$3</c:f>
              <c:numCache>
                <c:formatCode>General</c:formatCode>
                <c:ptCount val="5"/>
                <c:pt idx="0">
                  <c:v>0.3</c:v>
                </c:pt>
                <c:pt idx="1">
                  <c:v>0.6</c:v>
                </c:pt>
                <c:pt idx="2">
                  <c:v>0.2</c:v>
                </c:pt>
                <c:pt idx="3">
                  <c:v>1.9</c:v>
                </c:pt>
                <c:pt idx="4">
                  <c:v>3.2</c:v>
                </c:pt>
              </c:numCache>
            </c:numRef>
          </c:val>
          <c:smooth val="0"/>
        </c:ser>
        <c:ser>
          <c:idx val="1"/>
          <c:order val="1"/>
          <c:tx>
            <c:strRef>
              <c:f>[2019年公报图表1.xls]价格比上年涨跌幅度!$A$4</c:f>
              <c:strCache>
                <c:ptCount val="1"/>
                <c:pt idx="0">
                  <c:v>商品零售价格</c:v>
                </c:pt>
              </c:strCache>
            </c:strRef>
          </c:tx>
          <c:spPr>
            <a:ln w="28575" cap="rnd" cmpd="sng" algn="ctr">
              <a:solidFill>
                <a:schemeClr val="accent2"/>
              </a:solidFill>
              <a:prstDash val="sysDash"/>
              <a:round/>
            </a:ln>
            <a:effectLst/>
          </c:spPr>
          <c:marker>
            <c:symbol val="none"/>
          </c:marker>
          <c:dLbls>
            <c:dLbl>
              <c:idx val="0"/>
              <c:layout>
                <c:manualLayout>
                  <c:x val="-0.0325497287522604"/>
                  <c:y val="0.090290806754221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[2019年公报图表1.xls]价格比上年涨跌幅度!$B$2:$F$2</c:f>
              <c:strCache>
                <c:ptCount val="5"/>
                <c:pt idx="0">
                  <c:v>2015年</c:v>
                </c:pt>
                <c:pt idx="1">
                  <c:v>2016年</c:v>
                </c:pt>
                <c:pt idx="2">
                  <c:v>2017年</c:v>
                </c:pt>
                <c:pt idx="3">
                  <c:v>2018年</c:v>
                </c:pt>
                <c:pt idx="4">
                  <c:v>2019年</c:v>
                </c:pt>
              </c:strCache>
            </c:strRef>
          </c:cat>
          <c:val>
            <c:numRef>
              <c:f>[2019年公报图表1.xls]价格比上年涨跌幅度!$B$4:$F$4</c:f>
              <c:numCache>
                <c:formatCode>General</c:formatCode>
                <c:ptCount val="5"/>
                <c:pt idx="0">
                  <c:v>-0.7</c:v>
                </c:pt>
                <c:pt idx="1">
                  <c:v>1</c:v>
                </c:pt>
                <c:pt idx="2" c:formatCode="0.0_ ">
                  <c:v>0.6</c:v>
                </c:pt>
                <c:pt idx="3">
                  <c:v>0.8</c:v>
                </c:pt>
                <c:pt idx="4">
                  <c:v>1.6</c:v>
                </c:pt>
              </c:numCache>
            </c:numRef>
          </c:val>
          <c:smooth val="0"/>
        </c:ser>
        <c:dLbls>
          <c:showLegendKey val="0"/>
          <c:showVal val="0"/>
          <c:showCatName val="0"/>
          <c:showSerName val="0"/>
          <c:showPercent val="0"/>
          <c:showBubbleSize val="0"/>
        </c:dLbls>
        <c:marker val="0"/>
        <c:smooth val="0"/>
        <c:axId val="65251303"/>
        <c:axId val="888876692"/>
      </c:lineChart>
      <c:catAx>
        <c:axId val="6525130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876692"/>
        <c:crosses val="autoZero"/>
        <c:auto val="1"/>
        <c:lblAlgn val="ctr"/>
        <c:lblOffset val="100"/>
        <c:noMultiLvlLbl val="0"/>
      </c:catAx>
      <c:valAx>
        <c:axId val="8888766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251303"/>
        <c:crosses val="autoZero"/>
        <c:crossBetween val="between"/>
      </c:valAx>
      <c:spPr>
        <a:noFill/>
        <a:ln>
          <a:noFill/>
        </a:ln>
        <a:effectLst/>
      </c:spPr>
    </c:plotArea>
    <c:legend>
      <c:legendPos val="b"/>
      <c:layout>
        <c:manualLayout>
          <c:xMode val="edge"/>
          <c:yMode val="edge"/>
          <c:x val="0.27425"/>
          <c:y val="0.89075"/>
          <c:w val="0.451"/>
          <c:h val="0.0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cc3058f-0418-48b9-8cdf-f50be8d07ad7}"/>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682416836388323"/>
          <c:y val="0.143427886536157"/>
          <c:w val="0.901887304820095"/>
          <c:h val="0.815021973631642"/>
        </c:manualLayout>
      </c:layout>
      <c:lineChart>
        <c:grouping val="standard"/>
        <c:varyColors val="0"/>
        <c:ser>
          <c:idx val="0"/>
          <c:order val="0"/>
          <c:tx>
            <c:strRef>
              <c:f>[2019年公报图表1.xls]工业增加值增长速度!$A$3</c:f>
              <c:strCache>
                <c:ptCount val="1"/>
                <c:pt idx="0">
                  <c:v>工业增加值增长速度</c:v>
                </c:pt>
              </c:strCache>
            </c:strRef>
          </c:tx>
          <c:spPr>
            <a:ln w="28575" cap="rnd" cmpd="sng" algn="ctr">
              <a:solidFill>
                <a:schemeClr val="accent1"/>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[2019年公报图表1.xls]工业增加值增长速度!$B$2:$F$2</c:f>
              <c:strCache>
                <c:ptCount val="5"/>
                <c:pt idx="0">
                  <c:v>2015年</c:v>
                </c:pt>
                <c:pt idx="1">
                  <c:v>2016年</c:v>
                </c:pt>
                <c:pt idx="2">
                  <c:v>2017年</c:v>
                </c:pt>
                <c:pt idx="3">
                  <c:v>2018年</c:v>
                </c:pt>
                <c:pt idx="4">
                  <c:v>2019年</c:v>
                </c:pt>
              </c:strCache>
            </c:strRef>
          </c:cat>
          <c:val>
            <c:numRef>
              <c:f>[2019年公报图表1.xls]工业增加值增长速度!$B$3:$F$3</c:f>
              <c:numCache>
                <c:formatCode>General</c:formatCode>
                <c:ptCount val="5"/>
                <c:pt idx="0">
                  <c:v>-16.2</c:v>
                </c:pt>
                <c:pt idx="1">
                  <c:v>8.3</c:v>
                </c:pt>
                <c:pt idx="2">
                  <c:v>20.7</c:v>
                </c:pt>
                <c:pt idx="3">
                  <c:v>3.2</c:v>
                </c:pt>
                <c:pt idx="4">
                  <c:v>-8.9</c:v>
                </c:pt>
              </c:numCache>
            </c:numRef>
          </c:val>
          <c:smooth val="0"/>
        </c:ser>
        <c:dLbls>
          <c:showLegendKey val="0"/>
          <c:showVal val="0"/>
          <c:showCatName val="0"/>
          <c:showSerName val="0"/>
          <c:showPercent val="0"/>
          <c:showBubbleSize val="0"/>
        </c:dLbls>
        <c:marker val="0"/>
        <c:smooth val="0"/>
        <c:axId val="498143990"/>
        <c:axId val="648389210"/>
      </c:lineChart>
      <c:catAx>
        <c:axId val="49814399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8389210"/>
        <c:crosses val="autoZero"/>
        <c:auto val="1"/>
        <c:lblAlgn val="ctr"/>
        <c:lblOffset val="100"/>
        <c:noMultiLvlLbl val="0"/>
      </c:catAx>
      <c:valAx>
        <c:axId val="648389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8143990"/>
        <c:crosses val="autoZero"/>
        <c:crossBetween val="between"/>
      </c:valAx>
      <c:spPr>
        <a:noFill/>
        <a:ln>
          <a:noFill/>
        </a:ln>
        <a:effectLst/>
      </c:spPr>
    </c:plotArea>
    <c:plotVisOnly val="1"/>
    <c:dispBlanksAs val="gap"/>
    <c:showDLblsOverMax val="0"/>
    <c:extLst>
      <c:ext uri="{0b15fc19-7d7d-44ad-8c2d-2c3a37ce22c3}">
        <chartProps xmlns="https://web.wps.cn/et/2018/main" chartId="{cf568d94-c773-4708-832a-8a844924a52f}"/>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[2019年公报图表1.xls]固定资产投资增长速度!$A$3</c:f>
              <c:strCache>
                <c:ptCount val="1"/>
                <c:pt idx="0">
                  <c:v>固定资产投资</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[2019年公报图表1.xls]固定资产投资增长速度!$B$2:$F$2</c:f>
              <c:strCache>
                <c:ptCount val="5"/>
                <c:pt idx="0">
                  <c:v>2015年</c:v>
                </c:pt>
                <c:pt idx="1">
                  <c:v>2016年</c:v>
                </c:pt>
                <c:pt idx="2">
                  <c:v>2017年</c:v>
                </c:pt>
                <c:pt idx="3">
                  <c:v>2018年</c:v>
                </c:pt>
                <c:pt idx="4">
                  <c:v>2019年</c:v>
                </c:pt>
              </c:strCache>
            </c:strRef>
          </c:cat>
          <c:val>
            <c:numRef>
              <c:f>[2019年公报图表1.xls]固定资产投资增长速度!$B$3:$F$3</c:f>
              <c:numCache>
                <c:formatCode>General</c:formatCode>
                <c:ptCount val="5"/>
                <c:pt idx="0">
                  <c:v>181.9</c:v>
                </c:pt>
                <c:pt idx="1">
                  <c:v>164.9</c:v>
                </c:pt>
                <c:pt idx="2">
                  <c:v>41.7</c:v>
                </c:pt>
                <c:pt idx="3">
                  <c:v>36.9</c:v>
                </c:pt>
                <c:pt idx="4">
                  <c:v>38.4</c:v>
                </c:pt>
              </c:numCache>
            </c:numRef>
          </c:val>
        </c:ser>
        <c:dLbls>
          <c:showLegendKey val="0"/>
          <c:showVal val="0"/>
          <c:showCatName val="0"/>
          <c:showSerName val="0"/>
          <c:showPercent val="0"/>
          <c:showBubbleSize val="0"/>
        </c:dLbls>
        <c:gapWidth val="219"/>
        <c:overlap val="-27"/>
        <c:axId val="784822531"/>
        <c:axId val="235023215"/>
      </c:barChart>
      <c:lineChart>
        <c:grouping val="standard"/>
        <c:varyColors val="0"/>
        <c:ser>
          <c:idx val="1"/>
          <c:order val="1"/>
          <c:tx>
            <c:strRef>
              <c:f>[2019年公报图表1.xls]固定资产投资增长速度!$A$4</c:f>
              <c:strCache>
                <c:ptCount val="1"/>
                <c:pt idx="0">
                  <c:v>增长速度</c:v>
                </c:pt>
              </c:strCache>
            </c:strRef>
          </c:tx>
          <c:spPr>
            <a:ln w="28575" cap="rnd" cmpd="sng" algn="ctr">
              <a:solidFill>
                <a:schemeClr val="accent2"/>
              </a:solidFill>
              <a:prstDash val="sysDash"/>
              <a:round/>
            </a:ln>
            <a:effectLst/>
          </c:spPr>
          <c:marker>
            <c:symbol val="none"/>
          </c:marker>
          <c:dLbls>
            <c:dLbl>
              <c:idx val="0"/>
              <c:layout>
                <c:manualLayout>
                  <c:x val="0.0171526586620926"/>
                  <c:y val="0.0086471944657955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9451114922813"/>
                  <c:y val="0.040353574173712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05831903945112"/>
                  <c:y val="-0.0086471944657955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54373927958834"/>
                  <c:y val="0.0028823981552651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[2019年公报图表1.xls]固定资产投资增长速度!$B$2:$F$2</c:f>
              <c:strCache>
                <c:ptCount val="5"/>
                <c:pt idx="0">
                  <c:v>2015年</c:v>
                </c:pt>
                <c:pt idx="1">
                  <c:v>2016年</c:v>
                </c:pt>
                <c:pt idx="2">
                  <c:v>2017年</c:v>
                </c:pt>
                <c:pt idx="3">
                  <c:v>2018年</c:v>
                </c:pt>
                <c:pt idx="4">
                  <c:v>2019年</c:v>
                </c:pt>
              </c:strCache>
            </c:strRef>
          </c:cat>
          <c:val>
            <c:numRef>
              <c:f>[2019年公报图表1.xls]固定资产投资增长速度!$B$4:$F$4</c:f>
              <c:numCache>
                <c:formatCode>General</c:formatCode>
                <c:ptCount val="5"/>
                <c:pt idx="0">
                  <c:v>22.6</c:v>
                </c:pt>
                <c:pt idx="1">
                  <c:v>-9.4</c:v>
                </c:pt>
                <c:pt idx="2">
                  <c:v>-29.6</c:v>
                </c:pt>
                <c:pt idx="3">
                  <c:v>-11.4</c:v>
                </c:pt>
                <c:pt idx="4">
                  <c:v>3.8</c:v>
                </c:pt>
              </c:numCache>
            </c:numRef>
          </c:val>
          <c:smooth val="0"/>
        </c:ser>
        <c:dLbls>
          <c:showLegendKey val="0"/>
          <c:showVal val="0"/>
          <c:showCatName val="0"/>
          <c:showSerName val="0"/>
          <c:showPercent val="0"/>
          <c:showBubbleSize val="0"/>
        </c:dLbls>
        <c:marker val="0"/>
        <c:smooth val="0"/>
        <c:axId val="14725849"/>
        <c:axId val="695638570"/>
      </c:lineChart>
      <c:catAx>
        <c:axId val="78482253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023215"/>
        <c:crosses val="autoZero"/>
        <c:auto val="1"/>
        <c:lblAlgn val="ctr"/>
        <c:lblOffset val="100"/>
        <c:noMultiLvlLbl val="0"/>
      </c:catAx>
      <c:valAx>
        <c:axId val="23502321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4822531"/>
        <c:crosses val="autoZero"/>
        <c:crossBetween val="between"/>
      </c:valAx>
      <c:catAx>
        <c:axId val="14725849"/>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695638570"/>
        <c:crosses val="autoZero"/>
        <c:auto val="1"/>
        <c:lblAlgn val="ctr"/>
        <c:lblOffset val="100"/>
        <c:noMultiLvlLbl val="0"/>
      </c:catAx>
      <c:valAx>
        <c:axId val="695638570"/>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25849"/>
        <c:crosses val="max"/>
        <c:crossBetween val="between"/>
      </c:valAx>
      <c:spPr>
        <a:noFill/>
        <a:ln>
          <a:noFill/>
        </a:ln>
        <a:effectLst/>
      </c:spPr>
    </c:plotArea>
    <c:legend>
      <c:legendPos val="b"/>
      <c:layout>
        <c:manualLayout>
          <c:xMode val="edge"/>
          <c:yMode val="edge"/>
          <c:x val="0.3225"/>
          <c:y val="0.90275"/>
          <c:w val="0.35475"/>
          <c:h val="0.071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df2e5e7-e7b6-4b1c-924e-d4793da80d29}"/>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512118259164914"/>
          <c:y val="0.125439264518063"/>
          <c:w val="0.899940353736534"/>
          <c:h val="0.708149382581628"/>
        </c:manualLayout>
      </c:layout>
      <c:barChart>
        <c:barDir val="col"/>
        <c:grouping val="clustered"/>
        <c:varyColors val="0"/>
        <c:ser>
          <c:idx val="0"/>
          <c:order val="0"/>
          <c:tx>
            <c:strRef>
              <c:f>[2019年公报图表1.xls]社会消费品零售总额!$A$3</c:f>
              <c:strCache>
                <c:ptCount val="1"/>
                <c:pt idx="0">
                  <c:v>社会消费品零售总额</c:v>
                </c:pt>
              </c:strCache>
            </c:strRef>
          </c:tx>
          <c:spPr>
            <a:solidFill>
              <a:schemeClr val="accent1"/>
            </a:solidFill>
            <a:ln>
              <a:noFill/>
            </a:ln>
            <a:effectLst/>
          </c:spPr>
          <c:invertIfNegative val="0"/>
          <c:dLbls>
            <c:dLbl>
              <c:idx val="1"/>
              <c:layout>
                <c:manualLayout>
                  <c:x val="-0.00111982082866741"/>
                  <c:y val="-0.006673881673881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48388702252084"/>
                  <c:y val="-0.045634920634920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[2019年公报图表1.xls]社会消费品零售总额!$B$2:$F$2</c:f>
              <c:strCache>
                <c:ptCount val="5"/>
                <c:pt idx="0">
                  <c:v>2015年</c:v>
                </c:pt>
                <c:pt idx="1">
                  <c:v>2016年</c:v>
                </c:pt>
                <c:pt idx="2">
                  <c:v>2017年</c:v>
                </c:pt>
                <c:pt idx="3">
                  <c:v>2018年</c:v>
                </c:pt>
                <c:pt idx="4">
                  <c:v>2019年</c:v>
                </c:pt>
              </c:strCache>
            </c:strRef>
          </c:cat>
          <c:val>
            <c:numRef>
              <c:f>[2019年公报图表1.xls]社会消费品零售总额!$B$3:$F$3</c:f>
              <c:numCache>
                <c:formatCode>General</c:formatCode>
                <c:ptCount val="5"/>
                <c:pt idx="0">
                  <c:v>35.7</c:v>
                </c:pt>
                <c:pt idx="1" c:formatCode="0.0_ ">
                  <c:v>38</c:v>
                </c:pt>
                <c:pt idx="2">
                  <c:v>40.6</c:v>
                </c:pt>
                <c:pt idx="3">
                  <c:v>43.6</c:v>
                </c:pt>
                <c:pt idx="4">
                  <c:v>46.7</c:v>
                </c:pt>
              </c:numCache>
            </c:numRef>
          </c:val>
        </c:ser>
        <c:dLbls>
          <c:showLegendKey val="0"/>
          <c:showVal val="0"/>
          <c:showCatName val="0"/>
          <c:showSerName val="0"/>
          <c:showPercent val="0"/>
          <c:showBubbleSize val="0"/>
        </c:dLbls>
        <c:gapWidth val="219"/>
        <c:overlap val="-27"/>
        <c:axId val="719844271"/>
        <c:axId val="857587848"/>
      </c:barChart>
      <c:lineChart>
        <c:grouping val="standard"/>
        <c:varyColors val="0"/>
        <c:ser>
          <c:idx val="1"/>
          <c:order val="1"/>
          <c:tx>
            <c:strRef>
              <c:f>[2019年公报图表1.xls]社会消费品零售总额!$A$4</c:f>
              <c:strCache>
                <c:ptCount val="1"/>
                <c:pt idx="0">
                  <c:v>增长速度</c:v>
                </c:pt>
              </c:strCache>
            </c:strRef>
          </c:tx>
          <c:spPr>
            <a:ln w="28575" cap="rnd" cmpd="sng" algn="ctr">
              <a:solidFill>
                <a:schemeClr val="accent2"/>
              </a:solidFill>
              <a:prstDash val="sysDash"/>
              <a:round/>
            </a:ln>
            <a:effectLst/>
          </c:spPr>
          <c:marker>
            <c:symbol val="none"/>
          </c:marker>
          <c:dLbls>
            <c:dLbl>
              <c:idx val="0"/>
              <c:layout>
                <c:manualLayout>
                  <c:x val="0.0525071544108498"/>
                  <c:y val="-0.011904761904761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25071544108498"/>
                  <c:y val="-0.00342712842712843"/>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48712206047032"/>
                  <c:y val="-0.00342712842712843"/>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71108622620381"/>
                  <c:y val="0.020382395382395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71108622620381"/>
                  <c:y val="0.00162337662337662"/>
                </c:manualLayout>
              </c:layout>
              <c:dLblPos val="b"/>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[2019年公报图表1.xls]社会消费品零售总额!$B$2:$F$2</c:f>
              <c:strCache>
                <c:ptCount val="5"/>
                <c:pt idx="0">
                  <c:v>2015年</c:v>
                </c:pt>
                <c:pt idx="1">
                  <c:v>2016年</c:v>
                </c:pt>
                <c:pt idx="2">
                  <c:v>2017年</c:v>
                </c:pt>
                <c:pt idx="3">
                  <c:v>2018年</c:v>
                </c:pt>
                <c:pt idx="4">
                  <c:v>2019年</c:v>
                </c:pt>
              </c:strCache>
            </c:strRef>
          </c:cat>
          <c:val>
            <c:numRef>
              <c:f>[2019年公报图表1.xls]社会消费品零售总额!$B$4:$F$4</c:f>
              <c:numCache>
                <c:formatCode>General</c:formatCode>
                <c:ptCount val="5"/>
                <c:pt idx="0">
                  <c:v>4.6</c:v>
                </c:pt>
                <c:pt idx="1">
                  <c:v>6.3</c:v>
                </c:pt>
                <c:pt idx="2">
                  <c:v>6.3</c:v>
                </c:pt>
                <c:pt idx="3">
                  <c:v>7.5</c:v>
                </c:pt>
                <c:pt idx="4" c:formatCode="0.0_ ">
                  <c:v>7</c:v>
                </c:pt>
              </c:numCache>
            </c:numRef>
          </c:val>
          <c:smooth val="0"/>
        </c:ser>
        <c:dLbls>
          <c:showLegendKey val="0"/>
          <c:showVal val="0"/>
          <c:showCatName val="0"/>
          <c:showSerName val="0"/>
          <c:showPercent val="0"/>
          <c:showBubbleSize val="0"/>
        </c:dLbls>
        <c:marker val="0"/>
        <c:smooth val="0"/>
        <c:axId val="702343850"/>
        <c:axId val="193388654"/>
      </c:lineChart>
      <c:catAx>
        <c:axId val="71984427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7587848"/>
        <c:crosses val="autoZero"/>
        <c:auto val="1"/>
        <c:lblAlgn val="ctr"/>
        <c:lblOffset val="100"/>
        <c:noMultiLvlLbl val="0"/>
      </c:catAx>
      <c:valAx>
        <c:axId val="857587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844271"/>
        <c:crosses val="autoZero"/>
        <c:crossBetween val="between"/>
      </c:valAx>
      <c:catAx>
        <c:axId val="702343850"/>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193388654"/>
        <c:crosses val="autoZero"/>
        <c:auto val="1"/>
        <c:lblAlgn val="ctr"/>
        <c:lblOffset val="100"/>
        <c:noMultiLvlLbl val="0"/>
      </c:catAx>
      <c:valAx>
        <c:axId val="193388654"/>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2343850"/>
        <c:crosses val="max"/>
        <c:crossBetween val="between"/>
      </c:valAx>
      <c:spPr>
        <a:noFill/>
        <a:ln>
          <a:noFill/>
        </a:ln>
        <a:effectLst/>
      </c:spPr>
    </c:plotArea>
    <c:legend>
      <c:legendPos val="b"/>
      <c:layout>
        <c:manualLayout>
          <c:xMode val="edge"/>
          <c:yMode val="edge"/>
          <c:x val="0.28625"/>
          <c:y val="0.91175"/>
          <c:w val="0.42725"/>
          <c:h val="0.064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a611025-fade-487a-b557-1f3bcf562619}"/>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[2019年公报图表1.xls]金融机构本外币各项!$A$3</c:f>
              <c:strCache>
                <c:ptCount val="1"/>
                <c:pt idx="0">
                  <c:v>金融机构本外币各项存款余额</c:v>
                </c:pt>
              </c:strCache>
            </c:strRef>
          </c:tx>
          <c:spPr>
            <a:solidFill>
              <a:schemeClr val="accent1"/>
            </a:solidFill>
            <a:ln>
              <a:noFill/>
            </a:ln>
            <a:effectLst/>
          </c:spPr>
          <c:invertIfNegative val="0"/>
          <c:dLbls>
            <c:dLbl>
              <c:idx val="1"/>
              <c:layout>
                <c:manualLayout>
                  <c:x val="0.0333333333333333"/>
                  <c:y val="0.024305555555555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08333333333333"/>
                  <c:y val="0.013888888888888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08333333333333"/>
                  <c:y val="0.017361111111111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[2019年公报图表1.xls]金融机构本外币各项!$B$2:$F$2</c:f>
              <c:strCache>
                <c:ptCount val="5"/>
                <c:pt idx="0">
                  <c:v>2015年</c:v>
                </c:pt>
                <c:pt idx="1">
                  <c:v>2016年</c:v>
                </c:pt>
                <c:pt idx="2">
                  <c:v>2017年</c:v>
                </c:pt>
                <c:pt idx="3">
                  <c:v>2018年</c:v>
                </c:pt>
                <c:pt idx="4">
                  <c:v>2019年</c:v>
                </c:pt>
              </c:strCache>
            </c:strRef>
          </c:cat>
          <c:val>
            <c:numRef>
              <c:f>[2019年公报图表1.xls]金融机构本外币各项!$B$3:$F$3</c:f>
              <c:numCache>
                <c:formatCode>General</c:formatCode>
                <c:ptCount val="5"/>
                <c:pt idx="0">
                  <c:v>128.3</c:v>
                </c:pt>
                <c:pt idx="1">
                  <c:v>140.4</c:v>
                </c:pt>
                <c:pt idx="2">
                  <c:v>160.1</c:v>
                </c:pt>
                <c:pt idx="3">
                  <c:v>187.1</c:v>
                </c:pt>
                <c:pt idx="4">
                  <c:v>209.6</c:v>
                </c:pt>
              </c:numCache>
            </c:numRef>
          </c:val>
        </c:ser>
        <c:dLbls>
          <c:showLegendKey val="0"/>
          <c:showVal val="0"/>
          <c:showCatName val="0"/>
          <c:showSerName val="0"/>
          <c:showPercent val="0"/>
          <c:showBubbleSize val="0"/>
        </c:dLbls>
        <c:gapWidth val="219"/>
        <c:overlap val="-27"/>
        <c:axId val="996124675"/>
        <c:axId val="112875936"/>
      </c:barChart>
      <c:lineChart>
        <c:grouping val="standard"/>
        <c:varyColors val="0"/>
        <c:ser>
          <c:idx val="1"/>
          <c:order val="1"/>
          <c:tx>
            <c:strRef>
              <c:f>[2019年公报图表1.xls]金融机构本外币各项!$A$4</c:f>
              <c:strCache>
                <c:ptCount val="1"/>
                <c:pt idx="0">
                  <c:v>增长速度</c:v>
                </c:pt>
              </c:strCache>
            </c:strRef>
          </c:tx>
          <c:spPr>
            <a:ln w="28575" cap="rnd" cmpd="sng" algn="ctr">
              <a:solidFill>
                <a:schemeClr val="accent2"/>
              </a:solidFill>
              <a:prstDash val="sysDash"/>
              <a:round/>
            </a:ln>
            <a:effectLst/>
          </c:spPr>
          <c:marker>
            <c:symbol val="none"/>
          </c:marker>
          <c:dLbls>
            <c:dLbl>
              <c:idx val="1"/>
              <c:layout>
                <c:manualLayout>
                  <c:x val="-0.0333333333333333"/>
                  <c:y val="-0.05208333333333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79166666666667"/>
                  <c:y val="-0.034722222222222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16666666666667"/>
                  <c:y val="-0.0312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
                  <c:y val="-0.059027777777777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[2019年公报图表1.xls]金融机构本外币各项!$B$2:$F$2</c:f>
              <c:strCache>
                <c:ptCount val="5"/>
                <c:pt idx="0">
                  <c:v>2015年</c:v>
                </c:pt>
                <c:pt idx="1">
                  <c:v>2016年</c:v>
                </c:pt>
                <c:pt idx="2">
                  <c:v>2017年</c:v>
                </c:pt>
                <c:pt idx="3">
                  <c:v>2018年</c:v>
                </c:pt>
                <c:pt idx="4">
                  <c:v>2019年</c:v>
                </c:pt>
              </c:strCache>
            </c:strRef>
          </c:cat>
          <c:val>
            <c:numRef>
              <c:f>[2019年公报图表1.xls]金融机构本外币各项!$B$4:$F$4</c:f>
              <c:numCache>
                <c:formatCode>General</c:formatCode>
                <c:ptCount val="5"/>
                <c:pt idx="0">
                  <c:v>-4.5</c:v>
                </c:pt>
                <c:pt idx="1">
                  <c:v>9.4</c:v>
                </c:pt>
                <c:pt idx="2">
                  <c:v>14.09</c:v>
                </c:pt>
                <c:pt idx="3">
                  <c:v>16.7</c:v>
                </c:pt>
                <c:pt idx="4">
                  <c:v>16.7</c:v>
                </c:pt>
              </c:numCache>
            </c:numRef>
          </c:val>
          <c:smooth val="0"/>
        </c:ser>
        <c:dLbls>
          <c:showLegendKey val="0"/>
          <c:showVal val="0"/>
          <c:showCatName val="0"/>
          <c:showSerName val="0"/>
          <c:showPercent val="0"/>
          <c:showBubbleSize val="0"/>
        </c:dLbls>
        <c:marker val="0"/>
        <c:smooth val="0"/>
        <c:axId val="696393858"/>
        <c:axId val="938280216"/>
      </c:lineChart>
      <c:catAx>
        <c:axId val="99612467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2875936"/>
        <c:crosses val="autoZero"/>
        <c:auto val="1"/>
        <c:lblAlgn val="ctr"/>
        <c:lblOffset val="100"/>
        <c:noMultiLvlLbl val="0"/>
      </c:catAx>
      <c:valAx>
        <c:axId val="1128759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6124675"/>
        <c:crosses val="autoZero"/>
        <c:crossBetween val="between"/>
      </c:valAx>
      <c:catAx>
        <c:axId val="696393858"/>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938280216"/>
        <c:crosses val="autoZero"/>
        <c:auto val="1"/>
        <c:lblAlgn val="ctr"/>
        <c:lblOffset val="100"/>
        <c:noMultiLvlLbl val="0"/>
      </c:catAx>
      <c:valAx>
        <c:axId val="938280216"/>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6393858"/>
        <c:crosses val="max"/>
        <c:crossBetween val="between"/>
      </c:valAx>
      <c:spPr>
        <a:noFill/>
        <a:ln>
          <a:noFill/>
        </a:ln>
        <a:effectLst/>
      </c:spPr>
    </c:plotArea>
    <c:legend>
      <c:legendPos val="b"/>
      <c:layout>
        <c:manualLayout>
          <c:xMode val="edge"/>
          <c:yMode val="edge"/>
          <c:x val="0.24375"/>
          <c:y val="0.908"/>
          <c:w val="0.512"/>
          <c:h val="0.067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ac8aa7b-eb0a-49cd-844d-5cda0cba6fec}"/>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[2019年公报图表1.xls]居民人均可支配!$A$2</c:f>
              <c:strCache>
                <c:ptCount val="1"/>
                <c:pt idx="0">
                  <c:v>居民人均可支配收入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[2019年公报图表1.xls]居民人均可支配!$B$1:$F$1</c:f>
              <c:strCache>
                <c:ptCount val="5"/>
                <c:pt idx="0">
                  <c:v>2015年</c:v>
                </c:pt>
                <c:pt idx="1">
                  <c:v>2016年</c:v>
                </c:pt>
                <c:pt idx="2">
                  <c:v>2017年</c:v>
                </c:pt>
                <c:pt idx="3">
                  <c:v>2018年</c:v>
                </c:pt>
                <c:pt idx="4">
                  <c:v>2019年</c:v>
                </c:pt>
              </c:strCache>
            </c:strRef>
          </c:cat>
          <c:val>
            <c:numRef>
              <c:f>[2019年公报图表1.xls]居民人均可支配!$B$2:$F$2</c:f>
              <c:numCache>
                <c:formatCode>General</c:formatCode>
                <c:ptCount val="5"/>
                <c:pt idx="0">
                  <c:v>15977</c:v>
                </c:pt>
                <c:pt idx="1">
                  <c:v>16883</c:v>
                </c:pt>
                <c:pt idx="2">
                  <c:v>18065</c:v>
                </c:pt>
                <c:pt idx="3">
                  <c:v>19185</c:v>
                </c:pt>
                <c:pt idx="4">
                  <c:v>20892</c:v>
                </c:pt>
              </c:numCache>
            </c:numRef>
          </c:val>
        </c:ser>
        <c:dLbls>
          <c:showLegendKey val="0"/>
          <c:showVal val="0"/>
          <c:showCatName val="0"/>
          <c:showSerName val="0"/>
          <c:showPercent val="0"/>
          <c:showBubbleSize val="0"/>
        </c:dLbls>
        <c:gapWidth val="219"/>
        <c:overlap val="-27"/>
        <c:axId val="528433997"/>
        <c:axId val="815764621"/>
      </c:barChart>
      <c:lineChart>
        <c:grouping val="standard"/>
        <c:varyColors val="0"/>
        <c:ser>
          <c:idx val="1"/>
          <c:order val="1"/>
          <c:tx>
            <c:strRef>
              <c:f>[2019年公报图表1.xls]居民人均可支配!$A$3</c:f>
              <c:strCache>
                <c:ptCount val="1"/>
                <c:pt idx="0">
                  <c:v>增长速度</c:v>
                </c:pt>
              </c:strCache>
            </c:strRef>
          </c:tx>
          <c:spPr>
            <a:ln w="28575" cap="rnd" cmpd="sng" algn="ctr">
              <a:solidFill>
                <a:schemeClr val="accent2"/>
              </a:solidFill>
              <a:prstDash val="solid"/>
              <a:round/>
            </a:ln>
            <a:effectLst/>
          </c:spPr>
          <c:marker>
            <c:symbol val="none"/>
          </c:marker>
          <c:dLbls>
            <c:dLbl>
              <c:idx val="0"/>
              <c:layout>
                <c:manualLayout>
                  <c:x val="0.0520018963014774"/>
                  <c:y val="-0.00118086990749852"/>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11433744285756"/>
                  <c:y val="-0.012792757331234"/>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11433744285756"/>
                  <c:y val="0"/>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76436114662603"/>
                  <c:y val="-0.0476284196024405"/>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35962940654378"/>
                  <c:y val="0.0051171029324936"/>
                </c:manualLayout>
              </c:layout>
              <c:dLblPos val="b"/>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[2019年公报图表1.xls]居民人均可支配!$B$1:$F$1</c:f>
              <c:strCache>
                <c:ptCount val="5"/>
                <c:pt idx="0">
                  <c:v>2015年</c:v>
                </c:pt>
                <c:pt idx="1">
                  <c:v>2016年</c:v>
                </c:pt>
                <c:pt idx="2">
                  <c:v>2017年</c:v>
                </c:pt>
                <c:pt idx="3">
                  <c:v>2018年</c:v>
                </c:pt>
                <c:pt idx="4">
                  <c:v>2019年</c:v>
                </c:pt>
              </c:strCache>
            </c:strRef>
          </c:cat>
          <c:val>
            <c:numRef>
              <c:f>[2019年公报图表1.xls]居民人均可支配!$B$3:$F$3</c:f>
              <c:numCache>
                <c:formatCode>General</c:formatCode>
                <c:ptCount val="5"/>
                <c:pt idx="0">
                  <c:v>6.1</c:v>
                </c:pt>
                <c:pt idx="1">
                  <c:v>5.7</c:v>
                </c:pt>
                <c:pt idx="2" c:formatCode="0.0_ ">
                  <c:v>7</c:v>
                </c:pt>
                <c:pt idx="3" c:formatCode="0.0_ ">
                  <c:v>6.2</c:v>
                </c:pt>
                <c:pt idx="4" c:formatCode="0.0_ ">
                  <c:v>8.9</c:v>
                </c:pt>
              </c:numCache>
            </c:numRef>
          </c:val>
          <c:smooth val="0"/>
        </c:ser>
        <c:dLbls>
          <c:showLegendKey val="0"/>
          <c:showVal val="0"/>
          <c:showCatName val="0"/>
          <c:showSerName val="0"/>
          <c:showPercent val="0"/>
          <c:showBubbleSize val="0"/>
        </c:dLbls>
        <c:marker val="0"/>
        <c:smooth val="0"/>
        <c:axId val="751730926"/>
        <c:axId val="58473572"/>
      </c:lineChart>
      <c:catAx>
        <c:axId val="528433997"/>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5764621"/>
        <c:crosses val="autoZero"/>
        <c:auto val="1"/>
        <c:lblAlgn val="ctr"/>
        <c:lblOffset val="100"/>
        <c:noMultiLvlLbl val="0"/>
      </c:catAx>
      <c:valAx>
        <c:axId val="81576462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8433997"/>
        <c:crosses val="autoZero"/>
        <c:crossBetween val="between"/>
      </c:valAx>
      <c:catAx>
        <c:axId val="751730926"/>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58473572"/>
        <c:crosses val="autoZero"/>
        <c:auto val="1"/>
        <c:lblAlgn val="ctr"/>
        <c:lblOffset val="100"/>
        <c:noMultiLvlLbl val="0"/>
      </c:catAx>
      <c:valAx>
        <c:axId val="58473572"/>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1730926"/>
        <c:crosses val="max"/>
        <c:crossBetween val="between"/>
      </c:valAx>
      <c:spPr>
        <a:noFill/>
        <a:ln>
          <a:noFill/>
        </a:ln>
        <a:effectLst/>
      </c:spPr>
    </c:plotArea>
    <c:legend>
      <c:legendPos val="b"/>
      <c:layout>
        <c:manualLayout>
          <c:xMode val="edge"/>
          <c:yMode val="edge"/>
          <c:x val="0.2825"/>
          <c:y val="0.9095"/>
          <c:w val="0.4345"/>
          <c:h val="0.066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765ce03-95d4-4677-a53a-1ee02cc54868}"/>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849533954727"/>
          <c:y val="0.0216911026310504"/>
        </c:manualLayout>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'[2019年公报图表1.xls]城镇居民人均可支配  '!$A$3</c:f>
              <c:strCache>
                <c:ptCount val="1"/>
                <c:pt idx="0">
                  <c:v>城镇居民人均可支配收入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'[2019年公报图表1.xls]城镇居民人均可支配  '!$B$2:$F$2</c:f>
              <c:strCache>
                <c:ptCount val="5"/>
                <c:pt idx="0">
                  <c:v>2015年</c:v>
                </c:pt>
                <c:pt idx="1">
                  <c:v>2016年</c:v>
                </c:pt>
                <c:pt idx="2">
                  <c:v>2017年</c:v>
                </c:pt>
                <c:pt idx="3">
                  <c:v>2018年</c:v>
                </c:pt>
                <c:pt idx="4">
                  <c:v>2019年</c:v>
                </c:pt>
              </c:strCache>
            </c:strRef>
          </c:cat>
          <c:val>
            <c:numRef>
              <c:f>'[2019年公报图表1.xls]城镇居民人均可支配  '!$B$3:$F$3</c:f>
              <c:numCache>
                <c:formatCode>General</c:formatCode>
                <c:ptCount val="5"/>
                <c:pt idx="0">
                  <c:v>27036</c:v>
                </c:pt>
                <c:pt idx="1">
                  <c:v>28415</c:v>
                </c:pt>
                <c:pt idx="2">
                  <c:v>30120</c:v>
                </c:pt>
                <c:pt idx="3">
                  <c:v>31777</c:v>
                </c:pt>
                <c:pt idx="4">
                  <c:v>33683</c:v>
                </c:pt>
              </c:numCache>
            </c:numRef>
          </c:val>
        </c:ser>
        <c:dLbls>
          <c:showLegendKey val="0"/>
          <c:showVal val="0"/>
          <c:showCatName val="0"/>
          <c:showSerName val="0"/>
          <c:showPercent val="0"/>
          <c:showBubbleSize val="0"/>
        </c:dLbls>
        <c:gapWidth val="219"/>
        <c:overlap val="-27"/>
        <c:axId val="369131848"/>
        <c:axId val="380461676"/>
      </c:barChart>
      <c:lineChart>
        <c:grouping val="standard"/>
        <c:varyColors val="0"/>
        <c:ser>
          <c:idx val="1"/>
          <c:order val="1"/>
          <c:tx>
            <c:strRef>
              <c:f>'[2019年公报图表1.xls]城镇居民人均可支配  '!$A$4</c:f>
              <c:strCache>
                <c:ptCount val="1"/>
                <c:pt idx="0">
                  <c:v>增长速度</c:v>
                </c:pt>
              </c:strCache>
            </c:strRef>
          </c:tx>
          <c:spPr>
            <a:ln w="28575" cap="rnd" cmpd="sng" algn="ctr">
              <a:solidFill>
                <a:schemeClr val="accent2"/>
              </a:solidFill>
              <a:prstDash val="solid"/>
              <a:round/>
            </a:ln>
            <a:effectLst/>
          </c:spPr>
          <c:marker>
            <c:symbol val="none"/>
          </c:marker>
          <c:dLbls>
            <c:dLbl>
              <c:idx val="0"/>
              <c:layout>
                <c:manualLayout>
                  <c:x val="0.014647137150466"/>
                  <c:y val="0.119612412292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81576080377678"/>
                  <c:y val="0.021978252435328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4647137150466"/>
                  <c:y val="0.056002277840020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81576080377678"/>
                  <c:y val="0.01690634802717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42839849897107"/>
                  <c:y val="-0.00422658700679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'[2019年公报图表1.xls]城镇居民人均可支配  '!$B$2:$F$2</c:f>
              <c:strCache>
                <c:ptCount val="5"/>
                <c:pt idx="0">
                  <c:v>2015年</c:v>
                </c:pt>
                <c:pt idx="1">
                  <c:v>2016年</c:v>
                </c:pt>
                <c:pt idx="2">
                  <c:v>2017年</c:v>
                </c:pt>
                <c:pt idx="3">
                  <c:v>2018年</c:v>
                </c:pt>
                <c:pt idx="4">
                  <c:v>2019年</c:v>
                </c:pt>
              </c:strCache>
            </c:strRef>
          </c:cat>
          <c:val>
            <c:numRef>
              <c:f>'[2019年公报图表1.xls]城镇居民人均可支配  '!$B$4:$F$4</c:f>
              <c:numCache>
                <c:formatCode>0.0_ </c:formatCode>
                <c:ptCount val="5"/>
                <c:pt idx="0">
                  <c:v>6.3</c:v>
                </c:pt>
                <c:pt idx="1">
                  <c:v>5.1</c:v>
                </c:pt>
                <c:pt idx="2">
                  <c:v>6</c:v>
                </c:pt>
                <c:pt idx="3">
                  <c:v>5.5</c:v>
                </c:pt>
                <c:pt idx="4">
                  <c:v>6</c:v>
                </c:pt>
              </c:numCache>
            </c:numRef>
          </c:val>
          <c:smooth val="0"/>
        </c:ser>
        <c:dLbls>
          <c:showLegendKey val="0"/>
          <c:showVal val="0"/>
          <c:showCatName val="0"/>
          <c:showSerName val="0"/>
          <c:showPercent val="0"/>
          <c:showBubbleSize val="0"/>
        </c:dLbls>
        <c:marker val="0"/>
        <c:smooth val="0"/>
        <c:axId val="192458665"/>
        <c:axId val="442988604"/>
      </c:lineChart>
      <c:catAx>
        <c:axId val="36913184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0461676"/>
        <c:crosses val="autoZero"/>
        <c:auto val="1"/>
        <c:lblAlgn val="ctr"/>
        <c:lblOffset val="100"/>
        <c:noMultiLvlLbl val="0"/>
      </c:catAx>
      <c:valAx>
        <c:axId val="3804616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131848"/>
        <c:crosses val="autoZero"/>
        <c:crossBetween val="between"/>
      </c:valAx>
      <c:catAx>
        <c:axId val="192458665"/>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442988604"/>
        <c:crosses val="autoZero"/>
        <c:auto val="1"/>
        <c:lblAlgn val="ctr"/>
        <c:lblOffset val="100"/>
        <c:noMultiLvlLbl val="0"/>
      </c:catAx>
      <c:valAx>
        <c:axId val="442988604"/>
        <c:scaling>
          <c:orientation val="minMax"/>
        </c:scaling>
        <c:delete val="0"/>
        <c:axPos val="r"/>
        <c:numFmt formatCode="0.0_ "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458665"/>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fa5cc39-e75a-442d-b7f4-48a54ff8ef50}"/>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0.0297847809377402</cdr:y>
    </cdr:from>
    <cdr:to>
      <cdr:x>0.0840480274442539</cdr:x>
      <cdr:y>0.104727132974635</cdr:y>
    </cdr:to>
    <cdr:sp>
      <cdr:nvSpPr>
        <cdr:cNvPr id="2" name="矩形 1"/>
        <cdr:cNvSpPr/>
      </cdr:nvSpPr>
      <cdr:spPr xmlns:a="http://schemas.openxmlformats.org/drawingml/2006/main">
        <a:xfrm xmlns:a="http://schemas.openxmlformats.org/drawingml/2006/main">
          <a:off x="0" y="152"/>
          <a:ext cx="686" cy="382"/>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defPPr>
            <a:defRPr lang="zh-CN">
              <a:solidFill>
                <a:schemeClr val="dk1"/>
              </a:solidFill>
            </a:defRPr>
          </a:defPPr>
          <a:lvl1pPr marL="0" algn="l" defTabSz="914400" rtl="0" eaLnBrk="1" latinLnBrk="0" hangingPunct="1">
            <a:defRPr sz="1100">
              <a:solidFill>
                <a:schemeClr val="dk1"/>
              </a:solidFill>
              <a:latin typeface="+mn-lt"/>
              <a:ea typeface="+mn-ea"/>
              <a:cs typeface="+mn-cs"/>
            </a:defRPr>
          </a:lvl1pPr>
          <a:lvl2pPr marL="457200" algn="l" defTabSz="914400" rtl="0" eaLnBrk="1" latinLnBrk="0" hangingPunct="1">
            <a:defRPr sz="1100">
              <a:solidFill>
                <a:schemeClr val="dk1"/>
              </a:solidFill>
              <a:latin typeface="+mn-lt"/>
              <a:ea typeface="+mn-ea"/>
              <a:cs typeface="+mn-cs"/>
            </a:defRPr>
          </a:lvl2pPr>
          <a:lvl3pPr marL="914400" algn="l" defTabSz="914400" rtl="0" eaLnBrk="1" latinLnBrk="0" hangingPunct="1">
            <a:defRPr sz="1100">
              <a:solidFill>
                <a:schemeClr val="dk1"/>
              </a:solidFill>
              <a:latin typeface="+mn-lt"/>
              <a:ea typeface="+mn-ea"/>
              <a:cs typeface="+mn-cs"/>
            </a:defRPr>
          </a:lvl3pPr>
          <a:lvl4pPr marL="1371600" algn="l" defTabSz="914400" rtl="0" eaLnBrk="1" latinLnBrk="0" hangingPunct="1">
            <a:defRPr sz="1100">
              <a:solidFill>
                <a:schemeClr val="dk1"/>
              </a:solidFill>
              <a:latin typeface="+mn-lt"/>
              <a:ea typeface="+mn-ea"/>
              <a:cs typeface="+mn-cs"/>
            </a:defRPr>
          </a:lvl4pPr>
          <a:lvl5pPr marL="1828800" algn="l" defTabSz="914400" rtl="0" eaLnBrk="1" latinLnBrk="0" hangingPunct="1">
            <a:defRPr sz="1100">
              <a:solidFill>
                <a:schemeClr val="dk1"/>
              </a:solidFill>
              <a:latin typeface="+mn-lt"/>
              <a:ea typeface="+mn-ea"/>
              <a:cs typeface="+mn-cs"/>
            </a:defRPr>
          </a:lvl5pPr>
          <a:lvl6pPr marL="2286000" algn="l" defTabSz="914400" rtl="0" eaLnBrk="1" latinLnBrk="0" hangingPunct="1">
            <a:defRPr sz="1100">
              <a:solidFill>
                <a:schemeClr val="dk1"/>
              </a:solidFill>
              <a:latin typeface="+mn-lt"/>
              <a:ea typeface="+mn-ea"/>
              <a:cs typeface="+mn-cs"/>
            </a:defRPr>
          </a:lvl6pPr>
          <a:lvl7pPr marL="2743200" algn="l" defTabSz="914400" rtl="0" eaLnBrk="1" latinLnBrk="0" hangingPunct="1">
            <a:defRPr sz="1100">
              <a:solidFill>
                <a:schemeClr val="dk1"/>
              </a:solidFill>
              <a:latin typeface="+mn-lt"/>
              <a:ea typeface="+mn-ea"/>
              <a:cs typeface="+mn-cs"/>
            </a:defRPr>
          </a:lvl7pPr>
          <a:lvl8pPr marL="3200400" algn="l" defTabSz="914400" rtl="0" eaLnBrk="1" latinLnBrk="0" hangingPunct="1">
            <a:defRPr sz="1100">
              <a:solidFill>
                <a:schemeClr val="dk1"/>
              </a:solidFill>
              <a:latin typeface="+mn-lt"/>
              <a:ea typeface="+mn-ea"/>
              <a:cs typeface="+mn-cs"/>
            </a:defRPr>
          </a:lvl8pPr>
          <a:lvl9pPr marL="3657600" algn="l" defTabSz="914400" rtl="0" eaLnBrk="1" latinLnBrk="0" hangingPunct="1">
            <a:defRPr sz="1100">
              <a:solidFill>
                <a:schemeClr val="dk1"/>
              </a:solidFill>
              <a:latin typeface="+mn-lt"/>
              <a:ea typeface="+mn-ea"/>
              <a:cs typeface="+mn-cs"/>
            </a:defRPr>
          </a:lvl9pPr>
        </a:lstStyle>
        <a:p>
          <a:r>
            <a:rPr lang="zh-CN" altLang="en-US" sz="1000"/>
            <a:t>亿元</a:t>
          </a:r>
          <a:endParaRPr lang="zh-CN" alt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0.0297847809377402</cdr:y>
    </cdr:from>
    <cdr:to>
      <cdr:x>0.0840480274442539</cdr:x>
      <cdr:y>0.104727132974635</cdr:y>
    </cdr:to>
    <cdr:sp>
      <cdr:nvSpPr>
        <cdr:cNvPr id="2" name="矩形 1"/>
        <cdr:cNvSpPr/>
      </cdr:nvSpPr>
      <cdr:spPr xmlns:a="http://schemas.openxmlformats.org/drawingml/2006/main">
        <a:xfrm xmlns:a="http://schemas.openxmlformats.org/drawingml/2006/main">
          <a:off x="0" y="108128"/>
          <a:ext cx="466725" cy="272063"/>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t>亿元</a:t>
          </a:r>
          <a:endParaRPr lang="zh-CN" altLang="en-US" sz="10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4850</Words>
  <Characters>6660</Characters>
  <Lines>0</Lines>
  <Paragraphs>0</Paragraphs>
  <TotalTime>68</TotalTime>
  <ScaleCrop>false</ScaleCrop>
  <LinksUpToDate>false</LinksUpToDate>
  <CharactersWithSpaces>7027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成</cp:lastModifiedBy>
  <dcterms:modified xsi:type="dcterms:W3CDTF">2025-09-02T02:15:22Z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eyJoZGlkIjoiMGUzZjcxMWE3YmQ5OGYxNTA0NTEwOTVjMjkyYzNkYjciLCJ1c2VySWQiOiIxMTQ5OTg3NTc2In0=</vt:lpwstr>
  </property>
  <property fmtid="{D5CDD505-2E9C-101B-9397-08002B2CF9AE}" pid="4" name="ICV">
    <vt:lpwstr>2F4677816DBA424884AAFECC70BBBB62_12</vt:lpwstr>
  </property>
</Properties>
</file>