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ascii="黑体" w:hAnsi="黑体" w:eastAsia="黑体" w:cs="Times New Roman"/>
          <w:sz w:val="32"/>
          <w:szCs w:val="32"/>
        </w:rPr>
      </w:pPr>
      <w:r>
        <w:rPr>
          <w:rFonts w:ascii="黑体" w:hAnsi="黑体" w:eastAsia="黑体" w:cs="Times New Roman"/>
          <w:sz w:val="32"/>
          <w:szCs w:val="32"/>
        </w:rPr>
        <w:t>附件1</w:t>
      </w:r>
    </w:p>
    <w:p>
      <w:pPr>
        <w:overflowPunct w:val="0"/>
        <w:spacing w:line="400" w:lineRule="exact"/>
        <w:rPr>
          <w:rFonts w:ascii="Times New Roman" w:hAnsi="Times New Roman" w:eastAsia="仿宋_GB2312" w:cs="Times New Roman"/>
          <w:sz w:val="32"/>
          <w:szCs w:val="32"/>
        </w:rPr>
      </w:pPr>
    </w:p>
    <w:p>
      <w:pPr>
        <w:overflowPunct w:val="0"/>
        <w:spacing w:line="600" w:lineRule="exact"/>
        <w:jc w:val="center"/>
        <w:rPr>
          <w:rFonts w:hint="eastAsia" w:ascii="方正小标宋简体" w:hAnsi="Times New Roman" w:eastAsia="方正小标宋简体" w:cs="Times New Roman"/>
          <w:sz w:val="44"/>
          <w:szCs w:val="32"/>
        </w:rPr>
      </w:pPr>
      <w:r>
        <w:rPr>
          <w:rFonts w:hint="eastAsia" w:ascii="方正小标宋简体" w:hAnsi="Times New Roman" w:eastAsia="方正小标宋简体" w:cs="Times New Roman"/>
          <w:sz w:val="44"/>
          <w:szCs w:val="32"/>
        </w:rPr>
        <w:t>本次检验项目</w:t>
      </w:r>
    </w:p>
    <w:p>
      <w:pPr>
        <w:overflowPunct w:val="0"/>
        <w:spacing w:line="400" w:lineRule="exact"/>
        <w:rPr>
          <w:rFonts w:ascii="Times New Roman" w:hAnsi="Times New Roman" w:eastAsia="仿宋_GB2312" w:cs="Times New Roman"/>
          <w:sz w:val="32"/>
          <w:szCs w:val="32"/>
        </w:rPr>
      </w:pPr>
    </w:p>
    <w:p>
      <w:pPr>
        <w:overflowPunct w:val="0"/>
        <w:spacing w:line="560" w:lineRule="exact"/>
        <w:ind w:firstLine="640"/>
        <w:rPr>
          <w:rFonts w:hint="eastAsia" w:ascii="黑体" w:hAnsi="黑体" w:eastAsia="黑体" w:cs="Times New Roman"/>
          <w:sz w:val="32"/>
          <w:szCs w:val="32"/>
          <w:lang w:eastAsia="zh-CN"/>
        </w:rPr>
      </w:pPr>
      <w:r>
        <w:rPr>
          <w:rFonts w:ascii="黑体" w:hAnsi="黑体" w:eastAsia="黑体" w:cs="Times New Roman"/>
          <w:sz w:val="32"/>
          <w:szCs w:val="32"/>
        </w:rPr>
        <w:t>一、</w:t>
      </w:r>
      <w:r>
        <w:rPr>
          <w:rFonts w:hint="eastAsia" w:ascii="黑体" w:hAnsi="黑体" w:eastAsia="黑体" w:cs="Times New Roman"/>
          <w:sz w:val="32"/>
          <w:szCs w:val="32"/>
          <w:lang w:eastAsia="zh-CN"/>
        </w:rPr>
        <w:t>食用农产品</w:t>
      </w:r>
    </w:p>
    <w:p>
      <w:pPr>
        <w:overflowPunct w:val="0"/>
        <w:spacing w:line="560" w:lineRule="exact"/>
        <w:ind w:left="64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（一）抽检依据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w:t>
      </w:r>
      <w:r>
        <w:rPr>
          <w:rFonts w:hint="eastAsia" w:ascii="Times New Roman" w:hAnsi="Times New Roman" w:eastAsia="仿宋_GB2312" w:cs="Times New Roman"/>
          <w:sz w:val="32"/>
          <w:szCs w:val="32"/>
          <w:lang w:eastAsia="zh-CN"/>
        </w:rPr>
        <w:t>《食品安全国家标准 食品添加剂使用标准》GB 2760-2014、《食品安全国家标准 食品中真菌毒素限量》GB 2761-2017、《食品安全国家标准 食品中污染物限量》GB 2762-2017、《食品安全国家标准 食品中农药最大残留限量》GB 2763-2019、《豆芽卫生标准》GB 22556-2008、国家食品药品监督管理总局农业部国家卫生和计划生育委员会关于豆芽生产过程中禁止使用6-苄基腺嘌呤等物质的公告(2015年第11号)、国家食品药品监督管理总局、农业部、国家卫生和计划生育委员会公告2015年第11号《关于豆芽生产过程中禁止使用6-苄基腺嘌呤等物质的公告》</w:t>
      </w:r>
      <w:r>
        <w:rPr>
          <w:rFonts w:ascii="Times New Roman" w:hAnsi="Times New Roman" w:eastAsia="仿宋_GB2312" w:cs="Times New Roman"/>
          <w:sz w:val="32"/>
          <w:szCs w:val="32"/>
        </w:rPr>
        <w:t>等标准及产品明示标准和指标的要求。</w:t>
      </w:r>
    </w:p>
    <w:p>
      <w:pPr>
        <w:overflowPunct w:val="0"/>
        <w:spacing w:line="560" w:lineRule="exact"/>
        <w:ind w:left="640"/>
        <w:rPr>
          <w:rFonts w:ascii="楷体_GB2312" w:hAnsi="Times New Roman" w:eastAsia="楷体_GB2312" w:cs="Times New Roman"/>
          <w:sz w:val="32"/>
          <w:szCs w:val="32"/>
        </w:rPr>
      </w:pPr>
      <w:r>
        <w:rPr>
          <w:rFonts w:ascii="楷体_GB2312" w:hAnsi="Times New Roman" w:eastAsia="楷体_GB2312" w:cs="Times New Roman"/>
          <w:sz w:val="32"/>
          <w:szCs w:val="32"/>
        </w:rPr>
        <w:t>（二）检验项目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豆芽</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rPr>
        <w:t>铅(以Pb计)、亚硫酸盐(以SO₂计)、6-苄基腺嘌呤(6-BA)、4-氯苯氧乙酸钠(以4-氯苯氧乙酸计)</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鲜食用菌</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rPr>
        <w:t>镉(以Cd计)、二氧化硫残留量、氯氰菊酯和高效氯氰菊酯</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韭菜</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rPr>
        <w:t>腐霉利、毒死蜱、氧乐果、克百威、甲拌磷、阿维菌素、氟虫腈</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大葱</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rPr>
        <w:t>氧乐果、灭多威、乙酰甲胺磷、辛硫磷、克百威、甲胺磷</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结球甘蓝</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rPr>
        <w:t>灭多威、甲拌磷、氟虫腈、甲基异柳磷、氧乐果</w:t>
      </w:r>
      <w:r>
        <w:rPr>
          <w:rFonts w:ascii="Times New Roman" w:hAnsi="Times New Roman" w:eastAsia="仿宋_GB2312" w:cs="Times New Roman"/>
          <w:sz w:val="32"/>
          <w:szCs w:val="32"/>
        </w:rPr>
        <w:t>。</w:t>
      </w:r>
    </w:p>
    <w:p>
      <w:pPr>
        <w:overflowPunct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6.花椰菜抽检项目包括毒死蜱、阿维菌素、硫线磷、杀扑磷、敌百虫。</w:t>
      </w:r>
    </w:p>
    <w:p>
      <w:pPr>
        <w:overflowPunct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7.菠菜</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毒死蜱、氧乐果、阿维菌素、氟虫腈、克百威、甲基异柳磷。</w:t>
      </w:r>
    </w:p>
    <w:p>
      <w:pPr>
        <w:overflowPunct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8.芹菜</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rPr>
        <w:t>毒死蜱、甲拌磷、克百威、氟虫腈、氧乐果、甲基异柳磷、二甲戊灵、敌敌畏</w:t>
      </w:r>
      <w:r>
        <w:rPr>
          <w:rFonts w:hint="eastAsia" w:ascii="Times New Roman" w:hAnsi="Times New Roman" w:eastAsia="仿宋_GB2312" w:cs="Times New Roman"/>
          <w:sz w:val="32"/>
          <w:szCs w:val="32"/>
          <w:lang w:eastAsia="zh-CN"/>
        </w:rPr>
        <w:t>。</w:t>
      </w:r>
    </w:p>
    <w:p>
      <w:pPr>
        <w:overflowPunct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9.普通白菜</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毒死蜱、氟虫腈、啶虫脒、氧乐果、水胺硫磷、涕灭威。</w:t>
      </w:r>
    </w:p>
    <w:p>
      <w:pPr>
        <w:overflowPunct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10.油麦菜</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rPr>
        <w:t>氟虫腈、氧乐果、克百威、甲拌磷、氯氟氰菊酯和高效氯氟氰菊酯</w:t>
      </w:r>
      <w:r>
        <w:rPr>
          <w:rFonts w:hint="eastAsia" w:ascii="Times New Roman" w:hAnsi="Times New Roman" w:eastAsia="仿宋_GB2312" w:cs="Times New Roman"/>
          <w:sz w:val="32"/>
          <w:szCs w:val="32"/>
          <w:lang w:eastAsia="zh-CN"/>
        </w:rPr>
        <w:t>。</w:t>
      </w:r>
    </w:p>
    <w:p>
      <w:pPr>
        <w:overflowPunct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11.大白菜</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毒死蜱、氧乐果、啶虫脒、甲胺磷、涕灭威、久效磷、克百威、水胺硫磷。</w:t>
      </w:r>
    </w:p>
    <w:p>
      <w:pPr>
        <w:overflowPunct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12.叶用莴苣</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毒死蜱、水胺硫磷、倍硫磷、甲拌磷。</w:t>
      </w:r>
    </w:p>
    <w:p>
      <w:pPr>
        <w:overflowPunct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13.茄子</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甲拌磷、镉（以 Cd 计）、氟虫腈、霜霉威和霜霉威盐酸盐、甲氰菊酯。</w:t>
      </w:r>
    </w:p>
    <w:p>
      <w:pPr>
        <w:overflowPunct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14.辣椒</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rPr>
        <w:t>克百威、氧乐果、氯唑磷、镉、咪鲜胺和咪鲜胺锰盐</w:t>
      </w:r>
      <w:r>
        <w:rPr>
          <w:rFonts w:hint="eastAsia" w:ascii="Times New Roman" w:hAnsi="Times New Roman" w:eastAsia="仿宋_GB2312" w:cs="Times New Roman"/>
          <w:sz w:val="32"/>
          <w:szCs w:val="32"/>
          <w:lang w:eastAsia="zh-CN"/>
        </w:rPr>
        <w:t>。</w:t>
      </w:r>
    </w:p>
    <w:p>
      <w:pPr>
        <w:overflowPunct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15.番茄</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氧乐果、克百威、毒死蜱、灭线磷、苯醚甲环唑。</w:t>
      </w:r>
    </w:p>
    <w:p>
      <w:pPr>
        <w:overflowPunct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16.黄瓜</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克百威、氟虫腈、腐霉利、异丙威、三唑酮、氧乐果。</w:t>
      </w:r>
    </w:p>
    <w:p>
      <w:pPr>
        <w:overflowPunct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17.豇豆</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rPr>
        <w:t>克百威、灭蝇胺、氧乐果、水胺硫磷、氟虫腈、阿维菌素、甲基异柳磷</w:t>
      </w:r>
      <w:r>
        <w:rPr>
          <w:rFonts w:hint="eastAsia" w:ascii="Times New Roman" w:hAnsi="Times New Roman" w:eastAsia="仿宋_GB2312" w:cs="Times New Roman"/>
          <w:sz w:val="32"/>
          <w:szCs w:val="32"/>
          <w:lang w:eastAsia="zh-CN"/>
        </w:rPr>
        <w:t>。</w:t>
      </w:r>
    </w:p>
    <w:p>
      <w:pPr>
        <w:overflowPunct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18.菜豆</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rPr>
        <w:t>氧乐果、克百威、多菌灵、氯氟氰菊酯和高效氯氟氰菊酯、溴氰菊酯、涕灭威、灭蝇胺、甲胺磷、倍硫磷</w:t>
      </w:r>
      <w:r>
        <w:rPr>
          <w:rFonts w:hint="eastAsia" w:ascii="Times New Roman" w:hAnsi="Times New Roman" w:eastAsia="仿宋_GB2312" w:cs="Times New Roman"/>
          <w:sz w:val="32"/>
          <w:szCs w:val="32"/>
          <w:lang w:eastAsia="zh-CN"/>
        </w:rPr>
        <w:t>。</w:t>
      </w:r>
    </w:p>
    <w:p>
      <w:pPr>
        <w:overflowPunct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19.山药</w:t>
      </w:r>
      <w:r>
        <w:rPr>
          <w:rFonts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甲拌磷、克百威、铅（以Pb计）、涕灭威、氯氟氰菊酯和高效氯氟氰菊酯、氧乐果。</w:t>
      </w:r>
    </w:p>
    <w:p>
      <w:pPr>
        <w:overflowPunct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20.姜抽检项目包括甲拌磷、氟虫腈、铅（以Pb计）、 噻虫嗪 、氯氰菊酯和高效氯氰菊酯。</w:t>
      </w:r>
    </w:p>
    <w:p>
      <w:pPr>
        <w:overflowPunct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21.马铃薯抽检项目包括涕灭威、氯氟氰菊酯和高效氯氟氰菊酯、氧乐果、克百威、甲胺磷。</w:t>
      </w:r>
    </w:p>
    <w:p>
      <w:pPr>
        <w:overflowPunct w:val="0"/>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22.豆类抽检项目包括吡虫啉 、赭曲霉毒素、铅（以Pb计）、铬、2,4-滴和 2,4-滴钠盐</w:t>
      </w:r>
      <w:bookmarkStart w:id="0" w:name="_GoBack"/>
      <w:bookmarkEnd w:id="0"/>
      <w:r>
        <w:rPr>
          <w:rFonts w:hint="eastAsia" w:ascii="Times New Roman" w:hAnsi="Times New Roman" w:eastAsia="仿宋_GB2312" w:cs="Times New Roman"/>
          <w:sz w:val="32"/>
          <w:szCs w:val="32"/>
          <w:lang w:val="en-US" w:eastAsia="zh-CN"/>
        </w:rPr>
        <w:t>。</w:t>
      </w:r>
    </w:p>
    <w:sectPr>
      <w:footerReference r:id="rId3" w:type="default"/>
      <w:footerReference r:id="rId4" w:type="even"/>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6518965"/>
      <w:docPartObj>
        <w:docPartGallery w:val="autotext"/>
      </w:docPartObj>
    </w:sdtPr>
    <w:sdtEndPr>
      <w:rPr>
        <w:rFonts w:ascii="宋体" w:hAnsi="宋体"/>
        <w:sz w:val="28"/>
        <w:szCs w:val="28"/>
      </w:rPr>
    </w:sdtEndPr>
    <w:sdtContent>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4905346"/>
      <w:docPartObj>
        <w:docPartGallery w:val="autotext"/>
      </w:docPartObj>
    </w:sdtPr>
    <w:sdtEndPr>
      <w:rPr>
        <w:rFonts w:ascii="宋体" w:hAnsi="宋体"/>
        <w:sz w:val="28"/>
        <w:szCs w:val="28"/>
      </w:rPr>
    </w:sdtEndPr>
    <w:sdtContent>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63"/>
    <w:rsid w:val="00010855"/>
    <w:rsid w:val="000156BE"/>
    <w:rsid w:val="00015EF9"/>
    <w:rsid w:val="00021C3F"/>
    <w:rsid w:val="00031A2A"/>
    <w:rsid w:val="00033CB4"/>
    <w:rsid w:val="0006600B"/>
    <w:rsid w:val="000B2C40"/>
    <w:rsid w:val="000D7CBF"/>
    <w:rsid w:val="000E19E9"/>
    <w:rsid w:val="000F0E15"/>
    <w:rsid w:val="000F1C47"/>
    <w:rsid w:val="000F3523"/>
    <w:rsid w:val="00113CE9"/>
    <w:rsid w:val="00117867"/>
    <w:rsid w:val="00155CB7"/>
    <w:rsid w:val="001712D0"/>
    <w:rsid w:val="00182685"/>
    <w:rsid w:val="001D0EC5"/>
    <w:rsid w:val="001D2CD8"/>
    <w:rsid w:val="001E0E89"/>
    <w:rsid w:val="001E56CF"/>
    <w:rsid w:val="00207ABF"/>
    <w:rsid w:val="002109E7"/>
    <w:rsid w:val="00291C9C"/>
    <w:rsid w:val="002B6A13"/>
    <w:rsid w:val="0031466C"/>
    <w:rsid w:val="003356FB"/>
    <w:rsid w:val="00351091"/>
    <w:rsid w:val="00354503"/>
    <w:rsid w:val="00400A64"/>
    <w:rsid w:val="004027C3"/>
    <w:rsid w:val="00415DAC"/>
    <w:rsid w:val="00420B41"/>
    <w:rsid w:val="004212E2"/>
    <w:rsid w:val="00457E8C"/>
    <w:rsid w:val="004A3EBE"/>
    <w:rsid w:val="004D1C72"/>
    <w:rsid w:val="004D544E"/>
    <w:rsid w:val="004E51FB"/>
    <w:rsid w:val="00503EC2"/>
    <w:rsid w:val="0051060D"/>
    <w:rsid w:val="00537976"/>
    <w:rsid w:val="005411CD"/>
    <w:rsid w:val="00544746"/>
    <w:rsid w:val="00554AF8"/>
    <w:rsid w:val="00555D0B"/>
    <w:rsid w:val="00581A92"/>
    <w:rsid w:val="00593C47"/>
    <w:rsid w:val="005A07C7"/>
    <w:rsid w:val="005A0F6A"/>
    <w:rsid w:val="005D2BA5"/>
    <w:rsid w:val="005D471E"/>
    <w:rsid w:val="005E206A"/>
    <w:rsid w:val="00611CA7"/>
    <w:rsid w:val="006151AB"/>
    <w:rsid w:val="00630C13"/>
    <w:rsid w:val="00634764"/>
    <w:rsid w:val="00681C90"/>
    <w:rsid w:val="006923E9"/>
    <w:rsid w:val="006D7314"/>
    <w:rsid w:val="006F0D28"/>
    <w:rsid w:val="006F67E8"/>
    <w:rsid w:val="0070082C"/>
    <w:rsid w:val="0070268B"/>
    <w:rsid w:val="0070331F"/>
    <w:rsid w:val="00710663"/>
    <w:rsid w:val="007268FC"/>
    <w:rsid w:val="00761EA5"/>
    <w:rsid w:val="007A7E4A"/>
    <w:rsid w:val="007B55B8"/>
    <w:rsid w:val="007B77BF"/>
    <w:rsid w:val="007C1222"/>
    <w:rsid w:val="007C77AC"/>
    <w:rsid w:val="007E360A"/>
    <w:rsid w:val="0080121B"/>
    <w:rsid w:val="00876080"/>
    <w:rsid w:val="00883F5E"/>
    <w:rsid w:val="00893822"/>
    <w:rsid w:val="008A2B1B"/>
    <w:rsid w:val="008F66AE"/>
    <w:rsid w:val="0094482B"/>
    <w:rsid w:val="00952E98"/>
    <w:rsid w:val="00966E42"/>
    <w:rsid w:val="009752B9"/>
    <w:rsid w:val="009D76B3"/>
    <w:rsid w:val="009F13EA"/>
    <w:rsid w:val="00A20A1A"/>
    <w:rsid w:val="00A45143"/>
    <w:rsid w:val="00A53F81"/>
    <w:rsid w:val="00A5471A"/>
    <w:rsid w:val="00A54D48"/>
    <w:rsid w:val="00A6089A"/>
    <w:rsid w:val="00A71741"/>
    <w:rsid w:val="00AB1F4B"/>
    <w:rsid w:val="00AB35BD"/>
    <w:rsid w:val="00AB5059"/>
    <w:rsid w:val="00AD0CB9"/>
    <w:rsid w:val="00AE46AB"/>
    <w:rsid w:val="00B01CDB"/>
    <w:rsid w:val="00B0311C"/>
    <w:rsid w:val="00B1114C"/>
    <w:rsid w:val="00B13936"/>
    <w:rsid w:val="00B26861"/>
    <w:rsid w:val="00B37B6C"/>
    <w:rsid w:val="00B40E7E"/>
    <w:rsid w:val="00B67BEC"/>
    <w:rsid w:val="00B80A56"/>
    <w:rsid w:val="00BE11D4"/>
    <w:rsid w:val="00BE3C76"/>
    <w:rsid w:val="00C20105"/>
    <w:rsid w:val="00C352BB"/>
    <w:rsid w:val="00C36CC9"/>
    <w:rsid w:val="00C37B37"/>
    <w:rsid w:val="00C62530"/>
    <w:rsid w:val="00C66795"/>
    <w:rsid w:val="00C72FA2"/>
    <w:rsid w:val="00C75FF2"/>
    <w:rsid w:val="00CC5B1E"/>
    <w:rsid w:val="00CC7A97"/>
    <w:rsid w:val="00CF6EAB"/>
    <w:rsid w:val="00D15F60"/>
    <w:rsid w:val="00D36478"/>
    <w:rsid w:val="00DC1EE9"/>
    <w:rsid w:val="00E646BD"/>
    <w:rsid w:val="00EC1402"/>
    <w:rsid w:val="00ED3F43"/>
    <w:rsid w:val="00EE65D2"/>
    <w:rsid w:val="00F33FCA"/>
    <w:rsid w:val="00F340DB"/>
    <w:rsid w:val="00F34812"/>
    <w:rsid w:val="00F6290E"/>
    <w:rsid w:val="00F9591A"/>
    <w:rsid w:val="00F96EF6"/>
    <w:rsid w:val="00FD7932"/>
    <w:rsid w:val="00FD79D6"/>
    <w:rsid w:val="01D96765"/>
    <w:rsid w:val="26E77B44"/>
    <w:rsid w:val="2CE225F9"/>
    <w:rsid w:val="3AE119F9"/>
    <w:rsid w:val="426D2507"/>
    <w:rsid w:val="5B513DC1"/>
    <w:rsid w:val="69FF8F0F"/>
    <w:rsid w:val="71163E84"/>
    <w:rsid w:val="78EA1288"/>
    <w:rsid w:val="79330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uiPriority w:val="99"/>
    <w:rPr>
      <w:sz w:val="18"/>
      <w:szCs w:val="18"/>
    </w:rPr>
  </w:style>
  <w:style w:type="character" w:customStyle="1" w:styleId="7">
    <w:name w:val="页眉 字符"/>
    <w:link w:val="3"/>
    <w:semiHidden/>
    <w:qFormat/>
    <w:uiPriority w:val="0"/>
    <w:rPr>
      <w:sz w:val="18"/>
      <w:szCs w:val="18"/>
    </w:r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1005</Words>
  <Characters>5730</Characters>
  <Lines>47</Lines>
  <Paragraphs>13</Paragraphs>
  <TotalTime>13</TotalTime>
  <ScaleCrop>false</ScaleCrop>
  <LinksUpToDate>false</LinksUpToDate>
  <CharactersWithSpaces>6722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2020-06-17T17:48:00Z</dcterms:created>
  <dc:creator>吕蓓</dc:creator>
  <cp:lastModifiedBy>Administrator</cp:lastModifiedBy>
  <cp:lastPrinted>2020-05-25T10:00:00Z</cp:lastPrinted>
  <dcterms:modified xsi:type="dcterms:W3CDTF">2020-09-07T01:00:10Z</dcterms:modified>
  <dc:title>Administrator</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