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p>
    <w:p>
      <w:pPr>
        <w:jc w:val="center"/>
        <w:rPr>
          <w:rFonts w:ascii="Times New Roman" w:hAnsi="Times New Roman" w:eastAsia="宋体" w:cs="Times New Roman"/>
          <w:sz w:val="72"/>
          <w:szCs w:val="72"/>
        </w:rPr>
      </w:pPr>
      <w:r>
        <w:rPr>
          <w:rFonts w:ascii="Times New Roman" w:hAnsi="Times New Roman" w:eastAsia="宋体" w:cs="Times New Roman"/>
          <w:sz w:val="72"/>
          <w:szCs w:val="72"/>
        </w:rPr>
        <w:t>建设项目环境影响报告表</w:t>
      </w:r>
    </w:p>
    <w:p>
      <w:pPr>
        <w:adjustRightInd w:val="0"/>
        <w:snapToGrid w:val="0"/>
        <w:spacing w:before="120" w:beforeLines="50" w:after="120" w:afterLines="50"/>
        <w:jc w:val="center"/>
        <w:rPr>
          <w:rFonts w:ascii="Times New Roman" w:hAnsi="Times New Roman" w:eastAsia="宋体" w:cs="Times New Roman"/>
          <w:bCs/>
          <w:sz w:val="36"/>
          <w:szCs w:val="36"/>
        </w:rPr>
      </w:pPr>
      <w:r>
        <w:rPr>
          <w:rFonts w:ascii="Times New Roman" w:hAnsi="Times New Roman" w:eastAsia="宋体" w:cs="Times New Roman"/>
          <w:bCs/>
          <w:sz w:val="36"/>
          <w:szCs w:val="36"/>
        </w:rPr>
        <w:t>（污染影响类）</w:t>
      </w: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p>
      <w:pPr>
        <w:adjustRightInd w:val="0"/>
        <w:snapToGrid w:val="0"/>
        <w:spacing w:before="120" w:beforeLines="50" w:after="120" w:afterLines="50"/>
        <w:jc w:val="center"/>
        <w:rPr>
          <w:rFonts w:ascii="Times New Roman" w:hAnsi="Times New Roman" w:eastAsia="宋体" w:cs="Times New Roman"/>
          <w:bCs/>
          <w:sz w:val="36"/>
          <w:szCs w:val="36"/>
        </w:rPr>
      </w:pPr>
    </w:p>
    <w:tbl>
      <w:tblPr>
        <w:tblStyle w:val="22"/>
        <w:tblW w:w="991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4"/>
        <w:gridCol w:w="70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kern w:val="0"/>
                <w:sz w:val="28"/>
                <w:szCs w:val="28"/>
              </w:rPr>
            </w:pPr>
            <w:r>
              <w:rPr>
                <w:rFonts w:ascii="Times New Roman" w:hAnsi="Times New Roman" w:eastAsia="宋体" w:cs="Times New Roman"/>
                <w:kern w:val="0"/>
                <w:sz w:val="28"/>
                <w:szCs w:val="28"/>
              </w:rPr>
              <w:t>项目名称：</w:t>
            </w:r>
          </w:p>
        </w:tc>
        <w:tc>
          <w:tcPr>
            <w:tcW w:w="7074" w:type="dxa"/>
            <w:vAlign w:val="center"/>
          </w:tcPr>
          <w:p>
            <w:pPr>
              <w:adjustRightInd w:val="0"/>
              <w:snapToGrid w:val="0"/>
              <w:rPr>
                <w:rFonts w:ascii="Times New Roman" w:hAnsi="Times New Roman" w:eastAsia="宋体" w:cs="Times New Roman"/>
                <w:bCs/>
                <w:kern w:val="0"/>
                <w:sz w:val="28"/>
                <w:szCs w:val="28"/>
              </w:rPr>
            </w:pPr>
            <w:r>
              <w:rPr>
                <w:rFonts w:ascii="Times New Roman" w:hAnsi="Times New Roman" w:eastAsia="宋体" w:cs="Times New Roman"/>
                <w:kern w:val="0"/>
                <w:sz w:val="28"/>
                <w:szCs w:val="28"/>
                <w:u w:val="single"/>
              </w:rPr>
              <w:t>山西省吕梁市柳林县穆村镇安沟村安沟股份经济合作社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kern w:val="0"/>
                <w:sz w:val="28"/>
                <w:szCs w:val="28"/>
              </w:rPr>
            </w:pPr>
          </w:p>
        </w:tc>
        <w:tc>
          <w:tcPr>
            <w:tcW w:w="7074" w:type="dxa"/>
            <w:vAlign w:val="center"/>
          </w:tcPr>
          <w:p>
            <w:pPr>
              <w:adjustRightInd w:val="0"/>
              <w:snapToGrid w:val="0"/>
              <w:rPr>
                <w:rFonts w:ascii="Times New Roman" w:hAnsi="Times New Roman" w:eastAsia="宋体" w:cs="Times New Roman"/>
                <w:kern w:val="0"/>
                <w:sz w:val="28"/>
                <w:szCs w:val="28"/>
                <w:u w:val="single"/>
              </w:rPr>
            </w:pPr>
            <w:r>
              <w:rPr>
                <w:rFonts w:ascii="Times New Roman" w:hAnsi="Times New Roman" w:eastAsia="宋体" w:cs="Times New Roman"/>
                <w:kern w:val="0"/>
                <w:sz w:val="28"/>
                <w:szCs w:val="28"/>
                <w:u w:val="single"/>
              </w:rPr>
              <w:t>年产5000吨豆制品生产项目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51" w:hRule="atLeast"/>
          <w:jc w:val="center"/>
        </w:trPr>
        <w:tc>
          <w:tcPr>
            <w:tcW w:w="2844" w:type="dxa"/>
            <w:vAlign w:val="center"/>
          </w:tcPr>
          <w:p>
            <w:pPr>
              <w:adjustRightInd w:val="0"/>
              <w:snapToGrid w:val="0"/>
              <w:jc w:val="distribute"/>
              <w:rPr>
                <w:rFonts w:ascii="Times New Roman" w:hAnsi="Times New Roman" w:eastAsia="宋体" w:cs="Times New Roman"/>
                <w:kern w:val="0"/>
                <w:sz w:val="28"/>
                <w:szCs w:val="28"/>
              </w:rPr>
            </w:pPr>
            <w:r>
              <w:rPr>
                <w:rFonts w:ascii="Times New Roman" w:hAnsi="Times New Roman" w:eastAsia="宋体" w:cs="Times New Roman"/>
                <w:kern w:val="0"/>
                <w:sz w:val="28"/>
                <w:szCs w:val="28"/>
              </w:rPr>
              <w:t>建设单位（盖章）：</w:t>
            </w:r>
          </w:p>
        </w:tc>
        <w:tc>
          <w:tcPr>
            <w:tcW w:w="7074" w:type="dxa"/>
            <w:vAlign w:val="center"/>
          </w:tcPr>
          <w:p>
            <w:pPr>
              <w:adjustRightInd w:val="0"/>
              <w:snapToGrid w:val="0"/>
              <w:rPr>
                <w:rFonts w:ascii="Times New Roman" w:hAnsi="Times New Roman" w:eastAsia="宋体" w:cs="Times New Roman"/>
                <w:bCs/>
                <w:kern w:val="0"/>
                <w:sz w:val="28"/>
                <w:szCs w:val="28"/>
              </w:rPr>
            </w:pPr>
            <w:r>
              <w:rPr>
                <w:rFonts w:ascii="Times New Roman" w:hAnsi="Times New Roman" w:eastAsia="宋体" w:cs="Times New Roman"/>
                <w:kern w:val="0"/>
                <w:sz w:val="28"/>
                <w:szCs w:val="28"/>
                <w:u w:val="single"/>
              </w:rPr>
              <w:t xml:space="preserve">山西省吕梁市柳林县穆村镇安沟村安沟股份经济合作社                       </w:t>
            </w:r>
          </w:p>
        </w:tc>
      </w:tr>
    </w:tbl>
    <w:p>
      <w:pPr>
        <w:adjustRightInd w:val="0"/>
        <w:snapToGrid w:val="0"/>
        <w:spacing w:before="120" w:beforeLines="50" w:after="120" w:afterLines="50"/>
        <w:jc w:val="center"/>
        <w:rPr>
          <w:rFonts w:ascii="Times New Roman" w:hAnsi="Times New Roman" w:eastAsia="宋体" w:cs="Times New Roman"/>
          <w:bCs/>
          <w:sz w:val="28"/>
          <w:szCs w:val="28"/>
        </w:rPr>
      </w:pPr>
    </w:p>
    <w:p>
      <w:pPr>
        <w:adjustRightInd w:val="0"/>
        <w:snapToGrid w:val="0"/>
        <w:spacing w:before="120" w:beforeLines="50" w:after="120" w:afterLines="50"/>
        <w:jc w:val="center"/>
        <w:rPr>
          <w:rFonts w:ascii="Times New Roman" w:hAnsi="Times New Roman" w:eastAsia="宋体" w:cs="Times New Roman"/>
          <w:bCs/>
          <w:sz w:val="28"/>
          <w:szCs w:val="28"/>
        </w:rPr>
      </w:pPr>
    </w:p>
    <w:p>
      <w:pPr>
        <w:adjustRightInd w:val="0"/>
        <w:snapToGrid w:val="0"/>
        <w:spacing w:before="120" w:beforeLines="50" w:after="120" w:afterLines="50"/>
        <w:jc w:val="center"/>
        <w:rPr>
          <w:rFonts w:ascii="Times New Roman" w:hAnsi="Times New Roman" w:eastAsia="宋体" w:cs="Times New Roman"/>
          <w:bCs/>
          <w:sz w:val="28"/>
          <w:szCs w:val="28"/>
        </w:rPr>
        <w:sectPr>
          <w:pgSz w:w="11906" w:h="16838"/>
          <w:pgMar w:top="1417" w:right="1134" w:bottom="1417" w:left="1134" w:header="851" w:footer="1077" w:gutter="0"/>
          <w:pgBorders>
            <w:top w:val="none" w:sz="0" w:space="0"/>
            <w:left w:val="none" w:sz="0" w:space="0"/>
            <w:bottom w:val="none" w:sz="0" w:space="0"/>
            <w:right w:val="none" w:sz="0" w:space="0"/>
          </w:pgBorders>
          <w:cols w:space="720" w:num="1"/>
          <w:docGrid w:linePitch="312" w:charSpace="0"/>
        </w:sectPr>
      </w:pPr>
      <w:r>
        <w:rPr>
          <w:rFonts w:ascii="Times New Roman" w:hAnsi="Times New Roman" w:eastAsia="宋体" w:cs="Times New Roman"/>
          <w:bCs/>
          <w:sz w:val="28"/>
          <w:szCs w:val="28"/>
        </w:rPr>
        <w:t>编制日期：二〇二一年</w:t>
      </w:r>
      <w:r>
        <w:rPr>
          <w:rFonts w:hint="eastAsia" w:ascii="Times New Roman" w:hAnsi="Times New Roman" w:eastAsia="宋体" w:cs="Times New Roman"/>
          <w:bCs/>
          <w:sz w:val="28"/>
          <w:szCs w:val="28"/>
        </w:rPr>
        <w:t>七</w:t>
      </w:r>
      <w:r>
        <w:rPr>
          <w:rFonts w:ascii="Times New Roman" w:hAnsi="Times New Roman" w:eastAsia="宋体" w:cs="Times New Roman"/>
          <w:bCs/>
          <w:sz w:val="28"/>
          <w:szCs w:val="28"/>
        </w:rPr>
        <w:t>月</w:t>
      </w:r>
    </w:p>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jc w:val="center"/>
        <w:rPr>
          <w:rFonts w:ascii="Times New Roman" w:hAnsi="Times New Roman" w:eastAsia="宋体" w:cs="Times New Roman"/>
          <w:kern w:val="0"/>
          <w:sz w:val="32"/>
          <w:szCs w:val="32"/>
        </w:rPr>
      </w:pPr>
      <w:r>
        <w:rPr>
          <w:rFonts w:ascii="Times New Roman" w:hAnsi="Times New Roman" w:eastAsia="宋体" w:cs="Times New Roman"/>
          <w:bCs/>
          <w:kern w:val="0"/>
          <w:sz w:val="28"/>
          <w:szCs w:val="28"/>
        </w:rPr>
        <w:t>山西省吕梁市柳林县穆村镇安沟村安沟股份经济合作社年产5000吨豆制品生产项目</w:t>
      </w:r>
      <w:r>
        <w:rPr>
          <w:rFonts w:ascii="Times New Roman" w:hAnsi="Times New Roman" w:eastAsia="宋体" w:cs="Times New Roman"/>
          <w:kern w:val="0"/>
          <w:sz w:val="28"/>
          <w:szCs w:val="28"/>
        </w:rPr>
        <w:t>环境影响报告表技术审查意见修改说明</w:t>
      </w:r>
    </w:p>
    <w:tbl>
      <w:tblPr>
        <w:tblStyle w:val="59"/>
        <w:tblW w:w="10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4298"/>
        <w:gridCol w:w="5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序号</w:t>
            </w:r>
          </w:p>
        </w:tc>
        <w:tc>
          <w:tcPr>
            <w:tcW w:w="4298"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技术审查意见</w:t>
            </w:r>
          </w:p>
        </w:tc>
        <w:tc>
          <w:tcPr>
            <w:tcW w:w="5432"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核实项目厂址与柳林县城规划区的位置关系，进一步分析与柳林县城市总体规划或乡镇规划的符合性；明确厂址占地性质，分析与土地利用规划的符合性；补充地表水、地下水、土壤环境现状调查，进一步分析项目选址的环境可行性。补充调查各环境要素环境保护目标及主要地表水国省控断面，补充环境保护目标表及图件。</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核实了项目厂址与柳林县城规划区的位置关系，进一步分析与柳林县城市总体规划或乡镇规划的符合性；明确厂址占地性质为建设用地，并分析与土地利用规划的符合性（P</w:t>
            </w:r>
            <w:r>
              <w:rPr>
                <w:rFonts w:ascii="Times New Roman" w:hAnsi="Times New Roman" w:eastAsia="宋体" w:cs="Times New Roman"/>
                <w:kern w:val="0"/>
                <w:sz w:val="20"/>
                <w:szCs w:val="21"/>
              </w:rPr>
              <w:t>4</w:t>
            </w:r>
            <w:r>
              <w:rPr>
                <w:rFonts w:hint="eastAsia" w:ascii="Times New Roman" w:hAnsi="Times New Roman" w:eastAsia="宋体" w:cs="Times New Roman"/>
                <w:kern w:val="0"/>
                <w:sz w:val="20"/>
                <w:szCs w:val="21"/>
              </w:rPr>
              <w:t>）；补充了地表水、地下水、土壤环境现状调查，进一步分析项目选址的环境可行性（P</w:t>
            </w:r>
            <w:r>
              <w:rPr>
                <w:rFonts w:ascii="Times New Roman" w:hAnsi="Times New Roman" w:eastAsia="宋体" w:cs="Times New Roman"/>
                <w:kern w:val="0"/>
                <w:sz w:val="20"/>
                <w:szCs w:val="21"/>
              </w:rPr>
              <w:t>15~16</w:t>
            </w:r>
            <w:r>
              <w:rPr>
                <w:rFonts w:hint="eastAsia" w:ascii="Times New Roman" w:hAnsi="Times New Roman" w:eastAsia="宋体" w:cs="Times New Roman"/>
                <w:kern w:val="0"/>
                <w:sz w:val="20"/>
                <w:szCs w:val="21"/>
              </w:rPr>
              <w:t>）。补充调查了各环境要素环境保护目标及主要地表水国省控断面，补充了环境保护目标表及图件（P</w:t>
            </w:r>
            <w:r>
              <w:rPr>
                <w:rFonts w:ascii="Times New Roman" w:hAnsi="Times New Roman" w:eastAsia="宋体" w:cs="Times New Roman"/>
                <w:kern w:val="0"/>
                <w:sz w:val="20"/>
                <w:szCs w:val="21"/>
              </w:rPr>
              <w:t>17</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附图</w:t>
            </w:r>
            <w:r>
              <w:rPr>
                <w:rFonts w:hint="eastAsia" w:ascii="Times New Roman" w:hAnsi="Times New Roman" w:eastAsia="宋体" w:cs="Times New Roman"/>
                <w:kern w:val="0"/>
                <w:sz w:val="20"/>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2</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完善项目建设内容和主要生产设备，给出单位设备的生产能力及主要技术参数，核实建设规模；核实项目各原辅料来源、单位产品原辅料、蒸汽、水、电等消耗量和单位产品废水排放量。补充污水管网建设内容，分析施工期对大气、水、生态环境影响，提出相应的污染防治措施。</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补充完善了项目建设内容和主要生产设备，给出单位设备的生产能力及主要技术参数，核实了建设规模（P</w:t>
            </w:r>
            <w:r>
              <w:rPr>
                <w:rFonts w:ascii="Times New Roman" w:hAnsi="Times New Roman" w:eastAsia="宋体" w:cs="Times New Roman"/>
                <w:kern w:val="0"/>
                <w:sz w:val="20"/>
                <w:szCs w:val="21"/>
              </w:rPr>
              <w:t>6</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8</w:t>
            </w:r>
            <w:r>
              <w:rPr>
                <w:rFonts w:hint="eastAsia" w:ascii="Times New Roman" w:hAnsi="Times New Roman" w:eastAsia="宋体" w:cs="Times New Roman"/>
                <w:kern w:val="0"/>
                <w:sz w:val="20"/>
                <w:szCs w:val="21"/>
              </w:rPr>
              <w:t>）；核实了项目各原辅料来源、单位产品原辅料、蒸汽、水、电等消耗量和单位产品废水排放量（P</w:t>
            </w:r>
            <w:r>
              <w:rPr>
                <w:rFonts w:ascii="Times New Roman" w:hAnsi="Times New Roman" w:eastAsia="宋体" w:cs="Times New Roman"/>
                <w:kern w:val="0"/>
                <w:sz w:val="20"/>
                <w:szCs w:val="21"/>
              </w:rPr>
              <w:t>8</w:t>
            </w:r>
            <w:r>
              <w:rPr>
                <w:rFonts w:hint="eastAsia" w:ascii="Times New Roman" w:hAnsi="Times New Roman" w:eastAsia="宋体" w:cs="Times New Roman"/>
                <w:kern w:val="0"/>
                <w:sz w:val="20"/>
                <w:szCs w:val="21"/>
              </w:rPr>
              <w:t>、1</w:t>
            </w:r>
            <w:r>
              <w:rPr>
                <w:rFonts w:ascii="Times New Roman" w:hAnsi="Times New Roman" w:eastAsia="宋体" w:cs="Times New Roman"/>
                <w:kern w:val="0"/>
                <w:sz w:val="20"/>
                <w:szCs w:val="21"/>
              </w:rPr>
              <w:t>0</w:t>
            </w:r>
            <w:r>
              <w:rPr>
                <w:rFonts w:hint="eastAsia" w:ascii="Times New Roman" w:hAnsi="Times New Roman" w:eastAsia="宋体" w:cs="Times New Roman"/>
                <w:kern w:val="0"/>
                <w:sz w:val="20"/>
                <w:szCs w:val="21"/>
              </w:rPr>
              <w:t>）。补充了污水管网建设内容，分析施工期对大气、水、生态环境影响，提出相应的污染防治措施。（P</w:t>
            </w:r>
            <w:r>
              <w:rPr>
                <w:rFonts w:ascii="Times New Roman" w:hAnsi="Times New Roman" w:eastAsia="宋体" w:cs="Times New Roman"/>
                <w:kern w:val="0"/>
                <w:sz w:val="20"/>
                <w:szCs w:val="21"/>
              </w:rPr>
              <w:t>20~23</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3</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重新核实项目生产工艺及各产污环节，核实生产废水产生环节和产生量、排放量，核实废水污染因子，给出各污染因子产生浓度及预测依据，补充生产用水预处理工艺及设备。结合污水最终去向及执行标准，对拟采用污水处理工艺、规模进行可行性分析论证，以同类或相同措施的实际运行效果为依据补充污水处理措施的有效性、达标性、稳定性判定。补充污水进入城镇污水管网和柳林污水处理厂处理的可靠性分析；细化污水臭气防治措施。</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重新核实了项目生产工艺及各产污环节，核实生产废水产生环节和产生量、排放量，核实废水污染因子，给出各污染因子产生浓度及预测依据（P</w:t>
            </w:r>
            <w:r>
              <w:rPr>
                <w:rFonts w:ascii="Times New Roman" w:hAnsi="Times New Roman" w:eastAsia="宋体" w:cs="Times New Roman"/>
                <w:kern w:val="0"/>
                <w:sz w:val="20"/>
                <w:szCs w:val="21"/>
              </w:rPr>
              <w:t>9~10</w:t>
            </w:r>
            <w:r>
              <w:rPr>
                <w:rFonts w:hint="eastAsia" w:ascii="Times New Roman" w:hAnsi="Times New Roman" w:eastAsia="宋体" w:cs="Times New Roman"/>
                <w:kern w:val="0"/>
                <w:sz w:val="20"/>
                <w:szCs w:val="21"/>
              </w:rPr>
              <w:t>、1</w:t>
            </w:r>
            <w:r>
              <w:rPr>
                <w:rFonts w:ascii="Times New Roman" w:hAnsi="Times New Roman" w:eastAsia="宋体" w:cs="Times New Roman"/>
                <w:kern w:val="0"/>
                <w:sz w:val="20"/>
                <w:szCs w:val="21"/>
              </w:rPr>
              <w:t>3~14</w:t>
            </w:r>
            <w:r>
              <w:rPr>
                <w:rFonts w:hint="eastAsia" w:ascii="Times New Roman" w:hAnsi="Times New Roman" w:eastAsia="宋体" w:cs="Times New Roman"/>
                <w:kern w:val="0"/>
                <w:sz w:val="20"/>
                <w:szCs w:val="21"/>
              </w:rPr>
              <w:t>、2</w:t>
            </w:r>
            <w:r>
              <w:rPr>
                <w:rFonts w:ascii="Times New Roman" w:hAnsi="Times New Roman" w:eastAsia="宋体" w:cs="Times New Roman"/>
                <w:kern w:val="0"/>
                <w:sz w:val="20"/>
                <w:szCs w:val="21"/>
              </w:rPr>
              <w:t>5</w:t>
            </w:r>
            <w:r>
              <w:rPr>
                <w:rFonts w:hint="eastAsia" w:ascii="Times New Roman" w:hAnsi="Times New Roman" w:eastAsia="宋体" w:cs="Times New Roman"/>
                <w:kern w:val="0"/>
                <w:sz w:val="20"/>
                <w:szCs w:val="21"/>
              </w:rPr>
              <w:t>），本项目生产用水采用自来水，无需预处理。本项目污水处理工艺及规模参照《排污许可证申请与核发技术规范 农副食品加工工业-淀粉工业》来设置。补充了污水进入城镇污水管网和柳林污水处理厂处理的可靠性分析（P</w:t>
            </w:r>
            <w:r>
              <w:rPr>
                <w:rFonts w:ascii="Times New Roman" w:hAnsi="Times New Roman" w:eastAsia="宋体" w:cs="Times New Roman"/>
                <w:kern w:val="0"/>
                <w:sz w:val="20"/>
                <w:szCs w:val="21"/>
              </w:rPr>
              <w:t>26</w:t>
            </w:r>
            <w:r>
              <w:rPr>
                <w:rFonts w:hint="eastAsia" w:ascii="Times New Roman" w:hAnsi="Times New Roman" w:eastAsia="宋体" w:cs="Times New Roman"/>
                <w:kern w:val="0"/>
                <w:sz w:val="20"/>
                <w:szCs w:val="21"/>
              </w:rPr>
              <w:t>）；细化污水臭气防治措施（P</w:t>
            </w:r>
            <w:r>
              <w:rPr>
                <w:rFonts w:ascii="Times New Roman" w:hAnsi="Times New Roman" w:eastAsia="宋体" w:cs="Times New Roman"/>
                <w:kern w:val="0"/>
                <w:sz w:val="20"/>
                <w:szCs w:val="21"/>
              </w:rPr>
              <w:t>24</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4</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设置水环境影响专项评价；补充物料平衡、蒸汽平衡，核实水平街；明确生产固度产生种类、产生量及处置去向，分析和国家及地方要求的符合性。</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lang w:val="en-US" w:eastAsia="zh-CN"/>
              </w:rPr>
              <w:t>已设置水环境影响专项评价，详见专篇</w:t>
            </w:r>
            <w:r>
              <w:rPr>
                <w:rFonts w:hint="eastAsia" w:ascii="Times New Roman" w:hAnsi="Times New Roman" w:eastAsia="宋体" w:cs="Times New Roman"/>
                <w:kern w:val="0"/>
                <w:sz w:val="20"/>
                <w:szCs w:val="21"/>
              </w:rPr>
              <w:t>。补充了物料平衡、蒸汽平衡，核实水平街（P</w:t>
            </w:r>
            <w:r>
              <w:rPr>
                <w:rFonts w:ascii="Times New Roman" w:hAnsi="Times New Roman" w:eastAsia="宋体" w:cs="Times New Roman"/>
                <w:kern w:val="0"/>
                <w:sz w:val="20"/>
                <w:szCs w:val="21"/>
              </w:rPr>
              <w:t>8</w:t>
            </w:r>
            <w:r>
              <w:rPr>
                <w:rFonts w:hint="eastAsia" w:ascii="Times New Roman" w:hAnsi="Times New Roman" w:eastAsia="宋体" w:cs="Times New Roman"/>
                <w:kern w:val="0"/>
                <w:sz w:val="20"/>
                <w:szCs w:val="21"/>
              </w:rPr>
              <w:t>、P1</w:t>
            </w:r>
            <w:r>
              <w:rPr>
                <w:rFonts w:ascii="Times New Roman" w:hAnsi="Times New Roman" w:eastAsia="宋体" w:cs="Times New Roman"/>
                <w:kern w:val="0"/>
                <w:sz w:val="20"/>
                <w:szCs w:val="21"/>
              </w:rPr>
              <w:t>1</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12</w:t>
            </w:r>
            <w:r>
              <w:rPr>
                <w:rFonts w:hint="eastAsia" w:ascii="Times New Roman" w:hAnsi="Times New Roman" w:eastAsia="宋体" w:cs="Times New Roman"/>
                <w:kern w:val="0"/>
                <w:sz w:val="20"/>
                <w:szCs w:val="21"/>
              </w:rPr>
              <w:t>）；明确了生产固度产生种类、产生量及处置去向，分析和国家及地方要求的符合性（P2</w:t>
            </w:r>
            <w:r>
              <w:rPr>
                <w:rFonts w:ascii="Times New Roman" w:hAnsi="Times New Roman" w:eastAsia="宋体" w:cs="Times New Roman"/>
                <w:kern w:val="0"/>
                <w:sz w:val="20"/>
                <w:szCs w:val="21"/>
              </w:rPr>
              <w:t>8</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0"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5</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补充项目拟选址占地的土壤污染状况调查情况，明确用地是否达到食品加工标准企业用地要求。</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补充项目拟选址占地的土壤污染状况调查情况，明确用地是否达到食品加工标准企业用地要求（P</w:t>
            </w:r>
            <w:r>
              <w:rPr>
                <w:rFonts w:ascii="Times New Roman" w:hAnsi="Times New Roman" w:eastAsia="宋体" w:cs="Times New Roman"/>
                <w:kern w:val="0"/>
                <w:sz w:val="20"/>
                <w:szCs w:val="21"/>
              </w:rPr>
              <w:t>14</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6"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6</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按照事故及非正常状况，重新校核废水事故池容积，明确各池体的防渗措施。</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按照事故及非正常状况，重新校核了废水事故池容积（P</w:t>
            </w:r>
            <w:r>
              <w:rPr>
                <w:rFonts w:ascii="Times New Roman" w:hAnsi="Times New Roman" w:eastAsia="宋体" w:cs="Times New Roman"/>
                <w:kern w:val="0"/>
                <w:sz w:val="20"/>
                <w:szCs w:val="21"/>
              </w:rPr>
              <w:t>27</w:t>
            </w:r>
            <w:r>
              <w:rPr>
                <w:rFonts w:hint="eastAsia" w:ascii="Times New Roman" w:hAnsi="Times New Roman" w:eastAsia="宋体" w:cs="Times New Roman"/>
                <w:kern w:val="0"/>
                <w:sz w:val="20"/>
                <w:szCs w:val="21"/>
              </w:rPr>
              <w:t>），明确了各池体的防渗措施（P</w:t>
            </w:r>
            <w:r>
              <w:rPr>
                <w:rFonts w:ascii="Times New Roman" w:hAnsi="Times New Roman" w:eastAsia="宋体" w:cs="Times New Roman"/>
                <w:kern w:val="0"/>
                <w:sz w:val="20"/>
                <w:szCs w:val="21"/>
              </w:rPr>
              <w:t>29</w:t>
            </w:r>
            <w:r>
              <w:rPr>
                <w:rFonts w:hint="eastAsia" w:ascii="Times New Roman" w:hAnsi="Times New Roman" w:eastAsia="宋体" w:cs="Times New Roman"/>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jc w:val="center"/>
        </w:trPr>
        <w:tc>
          <w:tcPr>
            <w:tcW w:w="490" w:type="dxa"/>
            <w:vAlign w:val="center"/>
          </w:tcPr>
          <w:p>
            <w:pPr>
              <w:adjustRightIn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7</w:t>
            </w:r>
          </w:p>
        </w:tc>
        <w:tc>
          <w:tcPr>
            <w:tcW w:w="4298"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补充并规范相关附图、附表、附件。</w:t>
            </w:r>
          </w:p>
        </w:tc>
        <w:tc>
          <w:tcPr>
            <w:tcW w:w="5432" w:type="dxa"/>
            <w:vAlign w:val="center"/>
          </w:tcPr>
          <w:p>
            <w:pPr>
              <w:adjustRightInd w:val="0"/>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补充并规范了相关附图、附表、附件。</w:t>
            </w:r>
          </w:p>
        </w:tc>
      </w:tr>
    </w:tbl>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tbl>
      <w:tblPr>
        <w:tblStyle w:val="21"/>
        <w:tblpPr w:leftFromText="180" w:rightFromText="180" w:horzAnchor="margin" w:tblpXSpec="center" w:tblpY="1567"/>
        <w:tblW w:w="10354" w:type="dxa"/>
        <w:tblInd w:w="0" w:type="dxa"/>
        <w:tblLayout w:type="fixed"/>
        <w:tblCellMar>
          <w:top w:w="0" w:type="dxa"/>
          <w:left w:w="108" w:type="dxa"/>
          <w:bottom w:w="0" w:type="dxa"/>
          <w:right w:w="108" w:type="dxa"/>
        </w:tblCellMar>
      </w:tblPr>
      <w:tblGrid>
        <w:gridCol w:w="5177"/>
        <w:gridCol w:w="5177"/>
      </w:tblGrid>
      <w:tr>
        <w:tblPrEx>
          <w:tblLayout w:type="fixed"/>
          <w:tblCellMar>
            <w:top w:w="0" w:type="dxa"/>
            <w:left w:w="108" w:type="dxa"/>
            <w:bottom w:w="0" w:type="dxa"/>
            <w:right w:w="108" w:type="dxa"/>
          </w:tblCellMar>
        </w:tblPrEx>
        <w:trPr>
          <w:trHeight w:val="2532"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63445"/>
                  <wp:effectExtent l="0" t="0" r="0" b="8255"/>
                  <wp:docPr id="7" name="图片 7" descr="C:\Users\Administrator\AppData\Local\Microsoft\Windows\INetCache\Content.Word\厂区北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Local\Microsoft\Windows\INetCache\Content.Word\厂区北侧.jpg"/>
                          <pic:cNvPicPr>
                            <a:picLocks noChangeAspect="1" noChangeArrowheads="1"/>
                          </pic:cNvPicPr>
                        </pic:nvPicPr>
                        <pic:blipFill>
                          <a:blip r:embed="rId5"/>
                          <a:srcRect/>
                          <a:stretch>
                            <a:fillRect/>
                          </a:stretch>
                        </pic:blipFill>
                        <pic:spPr>
                          <a:xfrm>
                            <a:off x="0" y="0"/>
                            <a:ext cx="2879725" cy="2163445"/>
                          </a:xfrm>
                          <a:prstGeom prst="rect">
                            <a:avLst/>
                          </a:prstGeom>
                          <a:noFill/>
                          <a:ln>
                            <a:noFill/>
                          </a:ln>
                        </pic:spPr>
                      </pic:pic>
                    </a:graphicData>
                  </a:graphic>
                </wp:inline>
              </w:drawing>
            </w:r>
          </w:p>
        </w:tc>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60270"/>
                  <wp:effectExtent l="0" t="0" r="0" b="0"/>
                  <wp:docPr id="8" name="图片 8" descr="D:\缘起青青   工作\项目\环评\柳林\柳林县穆村镇安沟村安沟股份经济合作社年产5000吨豆制品生产项目\现场照片\厂区东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缘起青青   工作\项目\环评\柳林\柳林县穆村镇安沟村安沟股份经济合作社年产5000吨豆制品生产项目\现场照片\厂区东侧.jpg"/>
                          <pic:cNvPicPr>
                            <a:picLocks noChangeAspect="1" noChangeArrowheads="1"/>
                          </pic:cNvPicPr>
                        </pic:nvPicPr>
                        <pic:blipFill>
                          <a:blip r:embed="rId6"/>
                          <a:srcRect/>
                          <a:stretch>
                            <a:fillRect/>
                          </a:stretch>
                        </pic:blipFill>
                        <pic:spPr>
                          <a:xfrm>
                            <a:off x="0" y="0"/>
                            <a:ext cx="2880000" cy="216048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287"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hint="eastAsia" w:ascii="Times New Roman" w:hAnsi="Times New Roman" w:eastAsia="宋体" w:cs="Times New Roman"/>
                <w:bCs/>
                <w:sz w:val="24"/>
                <w:szCs w:val="24"/>
              </w:rPr>
              <w:t>厂区北侧</w:t>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w:t>
            </w:r>
            <w:r>
              <w:rPr>
                <w:rFonts w:hint="eastAsia" w:ascii="Times New Roman" w:hAnsi="Times New Roman" w:eastAsia="宋体" w:cs="Times New Roman"/>
                <w:bCs/>
                <w:sz w:val="24"/>
                <w:szCs w:val="24"/>
              </w:rPr>
              <w:t>东侧</w:t>
            </w:r>
          </w:p>
        </w:tc>
      </w:tr>
      <w:tr>
        <w:tblPrEx>
          <w:tblLayout w:type="fixed"/>
          <w:tblCellMar>
            <w:top w:w="0" w:type="dxa"/>
            <w:left w:w="108" w:type="dxa"/>
            <w:bottom w:w="0" w:type="dxa"/>
            <w:right w:w="108" w:type="dxa"/>
          </w:tblCellMar>
        </w:tblPrEx>
        <w:trPr>
          <w:trHeight w:val="90" w:hRule="atLeast"/>
        </w:trPr>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drawing>
                <wp:inline distT="0" distB="0" distL="0" distR="0">
                  <wp:extent cx="2879725" cy="2160270"/>
                  <wp:effectExtent l="0" t="0" r="0" b="0"/>
                  <wp:docPr id="9" name="图片 9" descr="D:\缘起青青   工作\项目\环评\柳林\柳林县穆村镇安沟村安沟股份经济合作社年产5000吨豆制品生产项目\现场照片\厂区南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缘起青青   工作\项目\环评\柳林\柳林县穆村镇安沟村安沟股份经济合作社年产5000吨豆制品生产项目\现场照片\厂区南侧.jpg"/>
                          <pic:cNvPicPr>
                            <a:picLocks noChangeAspect="1" noChangeArrowheads="1"/>
                          </pic:cNvPicPr>
                        </pic:nvPicPr>
                        <pic:blipFill>
                          <a:blip r:embed="rId7"/>
                          <a:srcRect/>
                          <a:stretch>
                            <a:fillRect/>
                          </a:stretch>
                        </pic:blipFill>
                        <pic:spPr>
                          <a:xfrm>
                            <a:off x="0" y="0"/>
                            <a:ext cx="2880000" cy="2160480"/>
                          </a:xfrm>
                          <a:prstGeom prst="rect">
                            <a:avLst/>
                          </a:prstGeom>
                          <a:noFill/>
                          <a:ln>
                            <a:noFill/>
                          </a:ln>
                        </pic:spPr>
                      </pic:pic>
                    </a:graphicData>
                  </a:graphic>
                </wp:inline>
              </w:drawing>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drawing>
                <wp:inline distT="0" distB="0" distL="0" distR="0">
                  <wp:extent cx="2879725" cy="2160270"/>
                  <wp:effectExtent l="0" t="0" r="0" b="0"/>
                  <wp:docPr id="10" name="图片 10" descr="D:\缘起青青   工作\项目\环评\柳林\柳林县穆村镇安沟村安沟股份经济合作社年产5000吨豆制品生产项目\现场照片\厂区西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缘起青青   工作\项目\环评\柳林\柳林县穆村镇安沟村安沟股份经济合作社年产5000吨豆制品生产项目\现场照片\厂区西侧.jpg"/>
                          <pic:cNvPicPr>
                            <a:picLocks noChangeAspect="1" noChangeArrowheads="1"/>
                          </pic:cNvPicPr>
                        </pic:nvPicPr>
                        <pic:blipFill>
                          <a:blip r:embed="rId8"/>
                          <a:srcRect/>
                          <a:stretch>
                            <a:fillRect/>
                          </a:stretch>
                        </pic:blipFill>
                        <pic:spPr>
                          <a:xfrm>
                            <a:off x="0" y="0"/>
                            <a:ext cx="2880000" cy="216048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厂区南侧</w:t>
            </w:r>
          </w:p>
        </w:tc>
        <w:tc>
          <w:tcPr>
            <w:tcW w:w="5177" w:type="dxa"/>
            <w:vAlign w:val="center"/>
          </w:tcPr>
          <w:p>
            <w:pPr>
              <w:overflowPunct w:val="0"/>
              <w:autoSpaceDE w:val="0"/>
              <w:autoSpaceDN w:val="0"/>
              <w:jc w:val="center"/>
              <w:rPr>
                <w:rFonts w:ascii="Times New Roman" w:hAnsi="Times New Roman" w:eastAsia="宋体" w:cs="Times New Roman"/>
                <w:bCs/>
                <w:sz w:val="24"/>
                <w:szCs w:val="24"/>
                <w:highlight w:val="yellow"/>
              </w:rPr>
            </w:pPr>
            <w:r>
              <w:rPr>
                <w:rFonts w:ascii="Times New Roman" w:hAnsi="Times New Roman" w:eastAsia="宋体" w:cs="Times New Roman"/>
                <w:bCs/>
                <w:sz w:val="24"/>
                <w:szCs w:val="24"/>
              </w:rPr>
              <w:t>厂区西侧</w:t>
            </w:r>
          </w:p>
        </w:tc>
      </w:tr>
      <w:tr>
        <w:tblPrEx>
          <w:tblLayout w:type="fixed"/>
          <w:tblCellMar>
            <w:top w:w="0" w:type="dxa"/>
            <w:left w:w="108" w:type="dxa"/>
            <w:bottom w:w="0" w:type="dxa"/>
            <w:right w:w="108" w:type="dxa"/>
          </w:tblCellMar>
        </w:tblPrEx>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60270"/>
                  <wp:effectExtent l="0" t="0" r="0" b="0"/>
                  <wp:docPr id="11" name="图片 11" descr="D:\缘起青青   工作\项目\环评\柳林\柳林县穆村镇安沟村安沟股份经济合作社年产5000吨豆制品生产项目\现场照片\厂区西南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缘起青青   工作\项目\环评\柳林\柳林县穆村镇安沟村安沟股份经济合作社年产5000吨豆制品生产项目\现场照片\厂区西南侧.jpg"/>
                          <pic:cNvPicPr>
                            <a:picLocks noChangeAspect="1" noChangeArrowheads="1"/>
                          </pic:cNvPicPr>
                        </pic:nvPicPr>
                        <pic:blipFill>
                          <a:blip r:embed="rId9"/>
                          <a:srcRect/>
                          <a:stretch>
                            <a:fillRect/>
                          </a:stretch>
                        </pic:blipFill>
                        <pic:spPr>
                          <a:xfrm>
                            <a:off x="0" y="0"/>
                            <a:ext cx="2880000" cy="2160480"/>
                          </a:xfrm>
                          <a:prstGeom prst="rect">
                            <a:avLst/>
                          </a:prstGeom>
                          <a:noFill/>
                          <a:ln>
                            <a:noFill/>
                          </a:ln>
                        </pic:spPr>
                      </pic:pic>
                    </a:graphicData>
                  </a:graphic>
                </wp:inline>
              </w:drawing>
            </w:r>
          </w:p>
        </w:tc>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drawing>
                <wp:inline distT="0" distB="0" distL="0" distR="0">
                  <wp:extent cx="2879725" cy="2160270"/>
                  <wp:effectExtent l="0" t="0" r="0" b="0"/>
                  <wp:docPr id="12" name="图片 12" descr="D:\缘起青青   工作\项目\环评\柳林\柳林县穆村镇安沟村安沟股份经济合作社年产5000吨豆制品生产项目\现场照片\厂区现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缘起青青   工作\项目\环评\柳林\柳林县穆村镇安沟村安沟股份经济合作社年产5000吨豆制品生产项目\现场照片\厂区现状.jpg"/>
                          <pic:cNvPicPr>
                            <a:picLocks noChangeAspect="1" noChangeArrowheads="1"/>
                          </pic:cNvPicPr>
                        </pic:nvPicPr>
                        <pic:blipFill>
                          <a:blip r:embed="rId10"/>
                          <a:srcRect/>
                          <a:stretch>
                            <a:fillRect/>
                          </a:stretch>
                        </pic:blipFill>
                        <pic:spPr>
                          <a:xfrm>
                            <a:off x="0" y="0"/>
                            <a:ext cx="2880000" cy="216048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t>厂区西南侧</w:t>
            </w:r>
          </w:p>
        </w:tc>
        <w:tc>
          <w:tcPr>
            <w:tcW w:w="5177" w:type="dxa"/>
            <w:vAlign w:val="center"/>
          </w:tcPr>
          <w:p>
            <w:pPr>
              <w:overflowPunct w:val="0"/>
              <w:autoSpaceDE w:val="0"/>
              <w:autoSpaceDN w:val="0"/>
              <w:jc w:val="center"/>
              <w:rPr>
                <w:rFonts w:ascii="Times New Roman" w:hAnsi="Times New Roman" w:eastAsia="宋体" w:cs="Times New Roman"/>
                <w:bCs/>
                <w:sz w:val="24"/>
                <w:szCs w:val="24"/>
              </w:rPr>
            </w:pPr>
            <w:r>
              <w:rPr>
                <w:rFonts w:ascii="Times New Roman" w:hAnsi="Times New Roman" w:eastAsia="宋体" w:cs="Times New Roman"/>
                <w:bCs/>
                <w:sz w:val="24"/>
                <w:szCs w:val="24"/>
              </w:rPr>
              <w:t>厂区现状</w:t>
            </w:r>
          </w:p>
        </w:tc>
      </w:tr>
    </w:tbl>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keepNext/>
        <w:numPr>
          <w:ilvl w:val="0"/>
          <w:numId w:val="1"/>
        </w:numPr>
        <w:overflowPunct w:val="0"/>
        <w:snapToGrid w:val="0"/>
        <w:spacing w:before="156" w:beforeLines="50" w:after="156" w:afterLines="50"/>
        <w:jc w:val="center"/>
        <w:outlineLvl w:val="0"/>
        <w:rPr>
          <w:rFonts w:ascii="Times New Roman" w:hAnsi="Times New Roman" w:eastAsia="宋体" w:cs="Times New Roman"/>
          <w:color w:val="000000"/>
          <w:kern w:val="44"/>
          <w:sz w:val="30"/>
          <w:szCs w:val="30"/>
        </w:rPr>
      </w:pPr>
      <w:r>
        <w:rPr>
          <w:rFonts w:ascii="Times New Roman" w:hAnsi="Times New Roman" w:eastAsia="宋体" w:cs="Times New Roman"/>
          <w:color w:val="000000"/>
          <w:kern w:val="44"/>
          <w:sz w:val="30"/>
          <w:szCs w:val="30"/>
        </w:rPr>
        <w:t>建设项目基本情况</w:t>
      </w:r>
    </w:p>
    <w:tbl>
      <w:tblPr>
        <w:tblStyle w:val="22"/>
        <w:tblW w:w="102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2"/>
        <w:gridCol w:w="2840"/>
        <w:gridCol w:w="2154"/>
        <w:gridCol w:w="3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建设项目名称</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lang w:bidi="zh-CN"/>
              </w:rPr>
              <w:t>山西省吕梁市柳林县穆村镇安沟村安沟股份经济合作社年产5000吨豆制品生产项目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项目代码</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2102-141125-89-01-645383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建设单位联系人</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尚丽娜</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联系方式</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18636426320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建设地点</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lang w:bidi="zh-CN"/>
              </w:rPr>
              <w:t>柳林县</w:t>
            </w:r>
            <w:r>
              <w:rPr>
                <w:rFonts w:hint="eastAsia" w:ascii="Times New Roman" w:hAnsi="Times New Roman" w:eastAsia="宋体" w:cs="Times New Roman"/>
                <w:color w:val="000000"/>
                <w:kern w:val="0"/>
                <w:sz w:val="24"/>
                <w:szCs w:val="24"/>
                <w:lang w:bidi="zh-CN"/>
              </w:rPr>
              <w:t>穆村</w:t>
            </w:r>
            <w:r>
              <w:rPr>
                <w:rFonts w:ascii="Times New Roman" w:hAnsi="Times New Roman" w:eastAsia="宋体" w:cs="Times New Roman"/>
                <w:color w:val="000000"/>
                <w:kern w:val="0"/>
                <w:sz w:val="24"/>
                <w:szCs w:val="24"/>
                <w:lang w:bidi="zh-CN"/>
              </w:rPr>
              <w:t>镇</w:t>
            </w:r>
            <w:r>
              <w:rPr>
                <w:rFonts w:hint="eastAsia" w:ascii="Times New Roman" w:hAnsi="Times New Roman" w:eastAsia="宋体" w:cs="Times New Roman"/>
                <w:color w:val="000000"/>
                <w:kern w:val="0"/>
                <w:sz w:val="24"/>
                <w:szCs w:val="24"/>
                <w:lang w:bidi="zh-CN"/>
              </w:rPr>
              <w:t>安沟村东</w:t>
            </w:r>
            <w:r>
              <w:rPr>
                <w:rFonts w:ascii="Times New Roman" w:hAnsi="Times New Roman" w:eastAsia="宋体" w:cs="Times New Roman"/>
                <w:color w:val="000000"/>
                <w:kern w:val="0"/>
                <w:sz w:val="24"/>
                <w:szCs w:val="24"/>
              </w:rPr>
              <w:t>南</w:t>
            </w:r>
            <w:r>
              <w:rPr>
                <w:rFonts w:hint="eastAsia" w:ascii="Times New Roman" w:hAnsi="Times New Roman" w:eastAsia="宋体" w:cs="Times New Roman"/>
                <w:color w:val="000000"/>
                <w:kern w:val="0"/>
                <w:sz w:val="24"/>
                <w:szCs w:val="24"/>
              </w:rPr>
              <w:t>4</w:t>
            </w:r>
            <w:r>
              <w:rPr>
                <w:rFonts w:ascii="Times New Roman" w:hAnsi="Times New Roman" w:eastAsia="宋体" w:cs="Times New Roman"/>
                <w:color w:val="000000"/>
                <w:kern w:val="0"/>
                <w:sz w:val="24"/>
                <w:szCs w:val="24"/>
              </w:rPr>
              <w:t>00m处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地理坐标</w:t>
            </w:r>
          </w:p>
        </w:tc>
        <w:tc>
          <w:tcPr>
            <w:tcW w:w="8063" w:type="dxa"/>
            <w:gridSpan w:val="3"/>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u w:val="single"/>
              </w:rPr>
              <w:t>110</w:t>
            </w:r>
            <w:r>
              <w:rPr>
                <w:rFonts w:ascii="Times New Roman" w:hAnsi="Times New Roman" w:eastAsia="宋体" w:cs="Times New Roman"/>
                <w:color w:val="000000"/>
                <w:kern w:val="0"/>
                <w:sz w:val="24"/>
                <w:szCs w:val="24"/>
              </w:rPr>
              <w:t>度</w:t>
            </w:r>
            <w:r>
              <w:rPr>
                <w:rFonts w:ascii="Times New Roman" w:hAnsi="Times New Roman" w:eastAsia="宋体" w:cs="Times New Roman"/>
                <w:color w:val="000000"/>
                <w:kern w:val="0"/>
                <w:sz w:val="24"/>
                <w:szCs w:val="24"/>
                <w:u w:val="single"/>
              </w:rPr>
              <w:t>49</w:t>
            </w:r>
            <w:r>
              <w:rPr>
                <w:rFonts w:ascii="Times New Roman" w:hAnsi="Times New Roman" w:eastAsia="宋体" w:cs="Times New Roman"/>
                <w:color w:val="000000"/>
                <w:kern w:val="0"/>
                <w:sz w:val="24"/>
                <w:szCs w:val="24"/>
              </w:rPr>
              <w:t>分</w:t>
            </w:r>
            <w:r>
              <w:rPr>
                <w:rFonts w:ascii="Times New Roman" w:hAnsi="Times New Roman" w:eastAsia="宋体" w:cs="Times New Roman"/>
                <w:color w:val="000000"/>
                <w:kern w:val="0"/>
                <w:sz w:val="24"/>
                <w:szCs w:val="24"/>
                <w:u w:val="single"/>
              </w:rPr>
              <w:t>35.520</w:t>
            </w:r>
            <w:r>
              <w:rPr>
                <w:rFonts w:ascii="Times New Roman" w:hAnsi="Times New Roman" w:eastAsia="宋体" w:cs="Times New Roman"/>
                <w:color w:val="000000"/>
                <w:kern w:val="0"/>
                <w:sz w:val="24"/>
                <w:szCs w:val="24"/>
              </w:rPr>
              <w:t>秒E、</w:t>
            </w:r>
            <w:r>
              <w:rPr>
                <w:rFonts w:ascii="Times New Roman" w:hAnsi="Times New Roman" w:eastAsia="宋体" w:cs="Times New Roman"/>
                <w:color w:val="000000"/>
                <w:kern w:val="0"/>
                <w:sz w:val="24"/>
                <w:szCs w:val="24"/>
                <w:u w:val="single"/>
              </w:rPr>
              <w:t>37</w:t>
            </w:r>
            <w:r>
              <w:rPr>
                <w:rFonts w:ascii="Times New Roman" w:hAnsi="Times New Roman" w:eastAsia="宋体" w:cs="Times New Roman"/>
                <w:color w:val="000000"/>
                <w:kern w:val="0"/>
                <w:sz w:val="24"/>
                <w:szCs w:val="24"/>
              </w:rPr>
              <w:t>度</w:t>
            </w:r>
            <w:r>
              <w:rPr>
                <w:rFonts w:ascii="Times New Roman" w:hAnsi="Times New Roman" w:eastAsia="宋体" w:cs="Times New Roman"/>
                <w:color w:val="000000"/>
                <w:kern w:val="0"/>
                <w:sz w:val="24"/>
                <w:szCs w:val="24"/>
                <w:u w:val="single"/>
              </w:rPr>
              <w:t>24</w:t>
            </w:r>
            <w:r>
              <w:rPr>
                <w:rFonts w:ascii="Times New Roman" w:hAnsi="Times New Roman" w:eastAsia="宋体" w:cs="Times New Roman"/>
                <w:color w:val="000000"/>
                <w:kern w:val="0"/>
                <w:sz w:val="24"/>
                <w:szCs w:val="24"/>
              </w:rPr>
              <w:t>分</w:t>
            </w:r>
            <w:r>
              <w:rPr>
                <w:rFonts w:ascii="Times New Roman" w:hAnsi="Times New Roman" w:eastAsia="宋体" w:cs="Times New Roman"/>
                <w:color w:val="000000"/>
                <w:kern w:val="0"/>
                <w:sz w:val="24"/>
                <w:szCs w:val="24"/>
                <w:u w:val="single"/>
              </w:rPr>
              <w:t>42.146</w:t>
            </w:r>
            <w:r>
              <w:rPr>
                <w:rFonts w:ascii="Times New Roman" w:hAnsi="Times New Roman" w:eastAsia="宋体" w:cs="Times New Roman"/>
                <w:color w:val="000000"/>
                <w:kern w:val="0"/>
                <w:sz w:val="24"/>
                <w:szCs w:val="24"/>
              </w:rPr>
              <w:t>秒N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国民经济行业类别</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C1392豆制品制造</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建设项目行业类别</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10_020其他农副食品加工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建设性质</w:t>
            </w:r>
          </w:p>
        </w:tc>
        <w:tc>
          <w:tcPr>
            <w:tcW w:w="2840"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新建（迁建）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改建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扩建</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技术改造</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建设项目申报情形</w:t>
            </w:r>
          </w:p>
        </w:tc>
        <w:tc>
          <w:tcPr>
            <w:tcW w:w="3069"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首次申报项目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不予批准后再次申报项目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超五年重新审核项目</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项目备案部门</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shd w:val="clear" w:color="auto" w:fill="FFFFFF"/>
              </w:rPr>
              <w:t>柳林县行政审批服务管理局</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项目备案文号</w:t>
            </w:r>
          </w:p>
        </w:tc>
        <w:tc>
          <w:tcPr>
            <w:tcW w:w="3069" w:type="dxa"/>
            <w:vAlign w:val="center"/>
          </w:tcPr>
          <w:p>
            <w:pPr>
              <w:spacing w:line="400" w:lineRule="exact"/>
              <w:jc w:val="center"/>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2102-141125-89-01-645383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总投资</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3000万元</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环保投资</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rPr>
              <w:t>5</w:t>
            </w:r>
            <w:r>
              <w:rPr>
                <w:rFonts w:ascii="Times New Roman" w:hAnsi="Times New Roman" w:eastAsia="宋体" w:cs="Times New Roman"/>
                <w:color w:val="000000"/>
                <w:kern w:val="0"/>
                <w:sz w:val="24"/>
                <w:szCs w:val="24"/>
              </w:rPr>
              <w:t>50万元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环保投资占比</w:t>
            </w:r>
          </w:p>
        </w:tc>
        <w:tc>
          <w:tcPr>
            <w:tcW w:w="2840"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18.3%</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施工工期</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是否开工建设</w:t>
            </w:r>
          </w:p>
        </w:tc>
        <w:tc>
          <w:tcPr>
            <w:tcW w:w="2840" w:type="dxa"/>
            <w:vAlign w:val="center"/>
          </w:tcPr>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FE"/>
            </w:r>
            <w:r>
              <w:rPr>
                <w:rFonts w:ascii="Times New Roman" w:hAnsi="Times New Roman" w:eastAsia="宋体" w:cs="Times New Roman"/>
                <w:color w:val="000000"/>
                <w:kern w:val="0"/>
                <w:sz w:val="24"/>
                <w:szCs w:val="24"/>
              </w:rPr>
              <w:t>否</w:t>
            </w:r>
          </w:p>
          <w:p>
            <w:pPr>
              <w:spacing w:line="400" w:lineRule="exact"/>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sym w:font="Wingdings" w:char="00A8"/>
            </w:r>
            <w:r>
              <w:rPr>
                <w:rFonts w:ascii="Times New Roman" w:hAnsi="Times New Roman" w:eastAsia="宋体" w:cs="Times New Roman"/>
                <w:color w:val="000000"/>
                <w:kern w:val="0"/>
                <w:sz w:val="24"/>
                <w:szCs w:val="24"/>
              </w:rPr>
              <w:t>是：</w:t>
            </w:r>
            <w:r>
              <w:rPr>
                <w:rFonts w:ascii="Times New Roman" w:hAnsi="Times New Roman" w:eastAsia="宋体" w:cs="Times New Roman"/>
                <w:color w:val="000000"/>
                <w:kern w:val="0"/>
                <w:sz w:val="24"/>
                <w:szCs w:val="24"/>
                <w:u w:val="single"/>
              </w:rPr>
              <w:t xml:space="preserve">                </w:t>
            </w:r>
          </w:p>
        </w:tc>
        <w:tc>
          <w:tcPr>
            <w:tcW w:w="2154"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用地（用海）面积</w:t>
            </w:r>
          </w:p>
        </w:tc>
        <w:tc>
          <w:tcPr>
            <w:tcW w:w="3069" w:type="dxa"/>
            <w:vAlign w:val="center"/>
          </w:tcPr>
          <w:p>
            <w:pPr>
              <w:spacing w:line="400" w:lineRule="exact"/>
              <w:jc w:val="center"/>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lang w:bidi="zh-CN"/>
              </w:rPr>
              <w:t>11816</w:t>
            </w:r>
            <w:r>
              <w:rPr>
                <w:rFonts w:ascii="Times New Roman" w:hAnsi="Times New Roman" w:eastAsia="宋体" w:cs="Times New Roman"/>
                <w:color w:val="000000"/>
                <w:kern w:val="0"/>
                <w:sz w:val="24"/>
                <w:szCs w:val="24"/>
              </w:rPr>
              <w:t>m</w:t>
            </w:r>
            <w:r>
              <w:rPr>
                <w:rFonts w:ascii="Times New Roman" w:hAnsi="Times New Roman" w:eastAsia="宋体" w:cs="Times New Roman"/>
                <w:color w:val="000000"/>
                <w:kern w:val="0"/>
                <w:sz w:val="24"/>
                <w:szCs w:val="24"/>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142" w:type="dxa"/>
            <w:vAlign w:val="center"/>
          </w:tcPr>
          <w:p>
            <w:pPr>
              <w:spacing w:line="40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专项评价设置情况</w:t>
            </w:r>
          </w:p>
        </w:tc>
        <w:tc>
          <w:tcPr>
            <w:tcW w:w="8063" w:type="dxa"/>
            <w:gridSpan w:val="3"/>
            <w:vAlign w:val="center"/>
          </w:tcPr>
          <w:p>
            <w:pPr>
              <w:spacing w:line="400" w:lineRule="exact"/>
              <w:jc w:val="center"/>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水环境专项评价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highlight w:val="green"/>
              </w:rPr>
            </w:pPr>
            <w:r>
              <w:rPr>
                <w:rFonts w:ascii="Times New Roman" w:hAnsi="Times New Roman" w:eastAsia="宋体" w:cs="Times New Roman"/>
                <w:color w:val="000000"/>
                <w:kern w:val="0"/>
                <w:sz w:val="24"/>
                <w:szCs w:val="24"/>
              </w:rPr>
              <w:t>规划情况</w:t>
            </w:r>
          </w:p>
        </w:tc>
        <w:tc>
          <w:tcPr>
            <w:tcW w:w="8063" w:type="dxa"/>
            <w:gridSpan w:val="3"/>
            <w:vAlign w:val="center"/>
          </w:tcPr>
          <w:p>
            <w:pPr>
              <w:spacing w:line="480" w:lineRule="exact"/>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shd w:val="clear" w:color="auto" w:fill="FFFFFF"/>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highlight w:val="green"/>
              </w:rPr>
            </w:pPr>
            <w:r>
              <w:rPr>
                <w:rFonts w:ascii="Times New Roman" w:hAnsi="Times New Roman" w:eastAsia="宋体" w:cs="Times New Roman"/>
                <w:color w:val="000000"/>
                <w:kern w:val="0"/>
                <w:sz w:val="24"/>
                <w:szCs w:val="24"/>
              </w:rPr>
              <w:t>规划环境影响评价情况</w:t>
            </w:r>
          </w:p>
        </w:tc>
        <w:tc>
          <w:tcPr>
            <w:tcW w:w="8063" w:type="dxa"/>
            <w:gridSpan w:val="3"/>
            <w:vAlign w:val="center"/>
          </w:tcPr>
          <w:p>
            <w:pPr>
              <w:spacing w:line="480" w:lineRule="exact"/>
              <w:ind w:firstLine="480" w:firstLineChars="200"/>
              <w:rPr>
                <w:rFonts w:ascii="Times New Roman" w:hAnsi="Times New Roman" w:eastAsia="宋体" w:cs="Times New Roman"/>
                <w:color w:val="FF0000"/>
                <w:kern w:val="0"/>
                <w:sz w:val="24"/>
                <w:szCs w:val="24"/>
              </w:rPr>
            </w:pPr>
            <w:r>
              <w:rPr>
                <w:rFonts w:hint="eastAsia" w:ascii="Times New Roman" w:hAnsi="Times New Roman" w:eastAsia="宋体" w:cs="Times New Roman"/>
                <w:color w:val="000000"/>
                <w:kern w:val="0"/>
                <w:sz w:val="24"/>
                <w:szCs w:val="24"/>
                <w:shd w:val="clear" w:color="auto" w:fill="FFFFFF"/>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142" w:type="dxa"/>
            <w:vAlign w:val="center"/>
          </w:tcPr>
          <w:p>
            <w:pPr>
              <w:spacing w:line="480" w:lineRule="exact"/>
              <w:jc w:val="center"/>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规划及规划环境影响评价符合性分析</w:t>
            </w:r>
          </w:p>
        </w:tc>
        <w:tc>
          <w:tcPr>
            <w:tcW w:w="8063" w:type="dxa"/>
            <w:gridSpan w:val="3"/>
            <w:vAlign w:val="center"/>
          </w:tcPr>
          <w:p>
            <w:pPr>
              <w:spacing w:line="480" w:lineRule="exact"/>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kern w:val="0"/>
                <w:sz w:val="24"/>
                <w:szCs w:val="24"/>
                <w:shd w:val="clear" w:color="auto" w:fill="FFFFFF"/>
              </w:rPr>
              <w:t>/</w:t>
            </w:r>
          </w:p>
        </w:tc>
      </w:tr>
    </w:tbl>
    <w:p>
      <w:pPr>
        <w:rPr>
          <w:rFonts w:ascii="Times New Roman" w:hAnsi="Times New Roman" w:eastAsia="宋体" w:cs="Times New Roman"/>
        </w:rPr>
        <w:sectPr>
          <w:footerReference r:id="rId3" w:type="default"/>
          <w:pgSz w:w="11906" w:h="16838"/>
          <w:pgMar w:top="1418" w:right="1418" w:bottom="1418" w:left="1418" w:header="851" w:footer="992" w:gutter="0"/>
          <w:pgBorders>
            <w:top w:val="none" w:sz="0" w:space="0"/>
            <w:left w:val="none" w:sz="0" w:space="0"/>
            <w:bottom w:val="none" w:sz="0" w:space="0"/>
            <w:right w:val="none" w:sz="0" w:space="0"/>
          </w:pgBorders>
          <w:pgNumType w:start="1"/>
          <w:cols w:space="425" w:num="1"/>
          <w:docGrid w:type="lines" w:linePitch="312" w:charSpace="0"/>
        </w:sectPr>
      </w:pPr>
    </w:p>
    <w:tbl>
      <w:tblPr>
        <w:tblStyle w:val="21"/>
        <w:tblW w:w="102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9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0" w:hRule="atLeast"/>
          <w:jc w:val="center"/>
        </w:trPr>
        <w:tc>
          <w:tcPr>
            <w:tcW w:w="467" w:type="dxa"/>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其他符合性分析</w:t>
            </w:r>
          </w:p>
        </w:tc>
        <w:tc>
          <w:tcPr>
            <w:tcW w:w="9738" w:type="dxa"/>
            <w:vAlign w:val="center"/>
          </w:tcPr>
          <w:p>
            <w:pPr>
              <w:widowControl/>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w:t>
            </w:r>
            <w:r>
              <w:rPr>
                <w:rFonts w:ascii="Times New Roman" w:hAnsi="Times New Roman" w:eastAsia="宋体" w:cs="Times New Roman"/>
                <w:color w:val="000000"/>
                <w:sz w:val="24"/>
                <w:szCs w:val="24"/>
              </w:rPr>
              <w:t>项目与“三线一单（生态保护红线、环境质量底线、资源利用上线和生态环境准入负面清单）”</w:t>
            </w:r>
            <w:r>
              <w:rPr>
                <w:rFonts w:ascii="Times New Roman" w:hAnsi="Times New Roman" w:eastAsia="宋体" w:cs="Times New Roman"/>
                <w:sz w:val="24"/>
                <w:szCs w:val="24"/>
              </w:rPr>
              <w:t>符合性分析</w: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表1  项目与“三线一单”符合性分析一览表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849"/>
              <w:gridCol w:w="6173"/>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84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具体要求</w:t>
                  </w:r>
                </w:p>
              </w:tc>
              <w:tc>
                <w:tcPr>
                  <w:tcW w:w="6173"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本项目情况</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5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生态保护红线</w:t>
                  </w:r>
                </w:p>
              </w:tc>
              <w:tc>
                <w:tcPr>
                  <w:tcW w:w="6173"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本项目位于柳林县</w:t>
                  </w:r>
                  <w:r>
                    <w:rPr>
                      <w:rFonts w:hint="eastAsia" w:ascii="Times New Roman" w:hAnsi="Times New Roman" w:eastAsia="宋体" w:cs="Times New Roman"/>
                      <w:szCs w:val="21"/>
                    </w:rPr>
                    <w:t>穆村</w:t>
                  </w:r>
                  <w:r>
                    <w:rPr>
                      <w:rFonts w:ascii="Times New Roman" w:hAnsi="Times New Roman" w:eastAsia="宋体" w:cs="Times New Roman"/>
                      <w:szCs w:val="21"/>
                    </w:rPr>
                    <w:t>镇</w:t>
                  </w:r>
                  <w:r>
                    <w:rPr>
                      <w:rFonts w:hint="eastAsia" w:ascii="Times New Roman" w:hAnsi="Times New Roman" w:eastAsia="宋体" w:cs="Times New Roman"/>
                      <w:szCs w:val="21"/>
                    </w:rPr>
                    <w:t>安沟村东</w:t>
                  </w:r>
                  <w:r>
                    <w:rPr>
                      <w:rFonts w:ascii="Times New Roman" w:hAnsi="Times New Roman" w:eastAsia="宋体" w:cs="Times New Roman"/>
                      <w:szCs w:val="21"/>
                    </w:rPr>
                    <w:t>南</w:t>
                  </w:r>
                  <w:r>
                    <w:rPr>
                      <w:rFonts w:hint="eastAsia" w:ascii="Times New Roman" w:hAnsi="Times New Roman" w:eastAsia="宋体" w:cs="Times New Roman"/>
                      <w:szCs w:val="21"/>
                    </w:rPr>
                    <w:t>4</w:t>
                  </w:r>
                  <w:r>
                    <w:rPr>
                      <w:rFonts w:ascii="Times New Roman" w:hAnsi="Times New Roman" w:eastAsia="宋体" w:cs="Times New Roman"/>
                      <w:szCs w:val="21"/>
                    </w:rPr>
                    <w:t>00m处，按照国家环保部制定的《建设项目环境影响评价分类管理名录》 中关于环境敏感因素的界定原则，本项目所在区域不涉及“自然保护区、风景名胜区、饮用水水源保护区、森林公园、地质公园和重要生态功能区、生态敏感区和脆弱区以及其他要求禁止建设的环境敏感区”。因此本项目的建设不违背生态红线保护要求。</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环境质量底线</w:t>
                  </w:r>
                </w:p>
              </w:tc>
              <w:tc>
                <w:tcPr>
                  <w:tcW w:w="6173" w:type="dxa"/>
                  <w:vAlign w:val="center"/>
                </w:tcPr>
                <w:p>
                  <w:pPr>
                    <w:rPr>
                      <w:rFonts w:ascii="Times New Roman" w:hAnsi="Times New Roman" w:eastAsia="宋体" w:cs="Times New Roman"/>
                      <w:szCs w:val="21"/>
                      <w:highlight w:val="yellow"/>
                    </w:rPr>
                  </w:pPr>
                  <w:r>
                    <w:rPr>
                      <w:rFonts w:hint="eastAsia" w:ascii="宋体" w:hAnsi="宋体" w:eastAsia="宋体" w:cs="宋体"/>
                      <w:szCs w:val="21"/>
                    </w:rPr>
                    <w:t>①</w:t>
                  </w:r>
                  <w:r>
                    <w:rPr>
                      <w:rFonts w:ascii="Times New Roman" w:hAnsi="Times New Roman" w:eastAsia="宋体" w:cs="Times New Roman"/>
                      <w:szCs w:val="21"/>
                    </w:rPr>
                    <w:t>根据柳林县2020年环境空气质量例行监测资料可知，监测项目包括SO</w:t>
                  </w:r>
                  <w:r>
                    <w:rPr>
                      <w:rFonts w:ascii="Times New Roman" w:hAnsi="Times New Roman" w:eastAsia="宋体" w:cs="Times New Roman"/>
                      <w:szCs w:val="21"/>
                      <w:vertAlign w:val="subscript"/>
                    </w:rPr>
                    <w:t>2</w:t>
                  </w:r>
                  <w:r>
                    <w:rPr>
                      <w:rFonts w:ascii="Times New Roman" w:hAnsi="Times New Roman" w:eastAsia="宋体" w:cs="Times New Roman"/>
                      <w:szCs w:val="21"/>
                    </w:rPr>
                    <w:t>、NO</w:t>
                  </w:r>
                  <w:r>
                    <w:rPr>
                      <w:rFonts w:ascii="Times New Roman" w:hAnsi="Times New Roman" w:eastAsia="宋体" w:cs="Times New Roman"/>
                      <w:szCs w:val="21"/>
                      <w:vertAlign w:val="subscript"/>
                    </w:rPr>
                    <w:t>2</w:t>
                  </w:r>
                  <w:r>
                    <w:rPr>
                      <w:rFonts w:ascii="Times New Roman" w:hAnsi="Times New Roman" w:eastAsia="宋体" w:cs="Times New Roman"/>
                      <w:szCs w:val="21"/>
                    </w:rPr>
                    <w:t>、CO、O</w:t>
                  </w:r>
                  <w:r>
                    <w:rPr>
                      <w:rFonts w:ascii="Times New Roman" w:hAnsi="Times New Roman" w:eastAsia="宋体" w:cs="Times New Roman"/>
                      <w:szCs w:val="21"/>
                      <w:vertAlign w:val="subscript"/>
                    </w:rPr>
                    <w:t>3</w:t>
                  </w:r>
                  <w:r>
                    <w:rPr>
                      <w:rFonts w:ascii="Times New Roman" w:hAnsi="Times New Roman" w:eastAsia="宋体" w:cs="Times New Roman"/>
                      <w:szCs w:val="21"/>
                    </w:rPr>
                    <w:t>、PM</w:t>
                  </w:r>
                  <w:r>
                    <w:rPr>
                      <w:rFonts w:ascii="Times New Roman" w:hAnsi="Times New Roman" w:eastAsia="宋体" w:cs="Times New Roman"/>
                      <w:szCs w:val="21"/>
                      <w:vertAlign w:val="subscript"/>
                    </w:rPr>
                    <w:t>10</w:t>
                  </w:r>
                  <w:r>
                    <w:rPr>
                      <w:rFonts w:ascii="Times New Roman" w:hAnsi="Times New Roman" w:eastAsia="宋体" w:cs="Times New Roman"/>
                      <w:szCs w:val="21"/>
                    </w:rPr>
                    <w:t>和PM</w:t>
                  </w:r>
                  <w:r>
                    <w:rPr>
                      <w:rFonts w:ascii="Times New Roman" w:hAnsi="Times New Roman" w:eastAsia="宋体" w:cs="Times New Roman"/>
                      <w:szCs w:val="21"/>
                      <w:vertAlign w:val="subscript"/>
                    </w:rPr>
                    <w:t>2.5</w:t>
                  </w:r>
                  <w:r>
                    <w:rPr>
                      <w:rFonts w:ascii="Times New Roman" w:hAnsi="Times New Roman" w:eastAsia="宋体" w:cs="Times New Roman"/>
                      <w:szCs w:val="21"/>
                    </w:rPr>
                    <w:t>六项，监测结果显示NO</w:t>
                  </w:r>
                  <w:r>
                    <w:rPr>
                      <w:rFonts w:ascii="Times New Roman" w:hAnsi="Times New Roman" w:eastAsia="宋体" w:cs="Times New Roman"/>
                      <w:szCs w:val="21"/>
                      <w:vertAlign w:val="subscript"/>
                    </w:rPr>
                    <w:t>2</w:t>
                  </w:r>
                  <w:r>
                    <w:rPr>
                      <w:rFonts w:ascii="Times New Roman" w:hAnsi="Times New Roman" w:eastAsia="宋体" w:cs="Times New Roman"/>
                      <w:szCs w:val="21"/>
                    </w:rPr>
                    <w:t>年平均浓度、PM</w:t>
                  </w:r>
                  <w:r>
                    <w:rPr>
                      <w:rFonts w:ascii="Times New Roman" w:hAnsi="Times New Roman" w:eastAsia="宋体" w:cs="Times New Roman"/>
                      <w:szCs w:val="21"/>
                      <w:vertAlign w:val="subscript"/>
                    </w:rPr>
                    <w:t>10</w:t>
                  </w:r>
                  <w:r>
                    <w:rPr>
                      <w:rFonts w:ascii="Times New Roman" w:hAnsi="Times New Roman" w:eastAsia="宋体" w:cs="Times New Roman"/>
                      <w:szCs w:val="21"/>
                    </w:rPr>
                    <w:t>年平均浓度和PM</w:t>
                  </w:r>
                  <w:r>
                    <w:rPr>
                      <w:rFonts w:ascii="Times New Roman" w:hAnsi="Times New Roman" w:eastAsia="宋体" w:cs="Times New Roman"/>
                      <w:szCs w:val="21"/>
                      <w:vertAlign w:val="subscript"/>
                    </w:rPr>
                    <w:t>2.5</w:t>
                  </w:r>
                  <w:r>
                    <w:rPr>
                      <w:rFonts w:ascii="Times New Roman" w:hAnsi="Times New Roman" w:eastAsia="宋体" w:cs="Times New Roman"/>
                      <w:szCs w:val="21"/>
                    </w:rPr>
                    <w:t>年平均浓度出现不同程度的超标现象，说明该区域属于环境空气质量不达标区；</w:t>
                  </w:r>
                  <w:r>
                    <w:rPr>
                      <w:rFonts w:hint="eastAsia" w:ascii="宋体" w:hAnsi="宋体" w:eastAsia="宋体" w:cs="宋体"/>
                      <w:szCs w:val="21"/>
                    </w:rPr>
                    <w:t>②</w:t>
                  </w:r>
                  <w:r>
                    <w:rPr>
                      <w:rFonts w:ascii="Times New Roman" w:hAnsi="Times New Roman" w:eastAsia="宋体" w:cs="Times New Roman"/>
                      <w:szCs w:val="21"/>
                    </w:rPr>
                    <w:t>本项目所在地地表水水体为</w:t>
                  </w:r>
                  <w:r>
                    <w:rPr>
                      <w:rFonts w:hint="eastAsia" w:ascii="Times New Roman" w:hAnsi="Times New Roman" w:eastAsia="宋体" w:cs="Times New Roman"/>
                      <w:szCs w:val="21"/>
                    </w:rPr>
                    <w:t>西北</w:t>
                  </w:r>
                  <w:r>
                    <w:rPr>
                      <w:rFonts w:ascii="Times New Roman" w:hAnsi="Times New Roman" w:eastAsia="宋体" w:cs="Times New Roman"/>
                      <w:szCs w:val="21"/>
                    </w:rPr>
                    <w:t>侧约680m处的三川河，根据“2021年2月山西省地表水环境质量报告”可知，该河段水质满足《地表水环境质量标准》（GB3838-2002）中Ⅴ类标准；</w:t>
                  </w:r>
                  <w:r>
                    <w:rPr>
                      <w:rFonts w:hint="eastAsia" w:ascii="Times New Roman" w:hAnsi="Times New Roman" w:eastAsia="宋体" w:cs="Times New Roman"/>
                      <w:szCs w:val="21"/>
                    </w:rPr>
                    <w:t>③</w:t>
                  </w:r>
                  <w:r>
                    <w:rPr>
                      <w:rFonts w:ascii="Times New Roman" w:hAnsi="Times New Roman" w:eastAsia="宋体" w:cs="Times New Roman"/>
                      <w:bCs/>
                      <w:szCs w:val="21"/>
                    </w:rPr>
                    <w:t>本项目所在地附近50m内无噪声敏感点，企业委托</w:t>
                  </w:r>
                  <w:r>
                    <w:rPr>
                      <w:rFonts w:hint="eastAsia" w:ascii="Times New Roman" w:hAnsi="Times New Roman" w:eastAsia="宋体" w:cs="Times New Roman"/>
                      <w:bCs/>
                      <w:szCs w:val="21"/>
                    </w:rPr>
                    <w:t>山西嘉源环境检测有限公司</w:t>
                  </w:r>
                  <w:r>
                    <w:rPr>
                      <w:rFonts w:ascii="Times New Roman" w:hAnsi="Times New Roman" w:eastAsia="宋体" w:cs="Times New Roman"/>
                      <w:bCs/>
                      <w:szCs w:val="21"/>
                    </w:rPr>
                    <w:t>对声环境质量现状进行了监测，根据监测数据结果显示厂址噪声满足《声环境质量标准》（GB3096-2008）中2类标准</w:t>
                  </w:r>
                  <w:r>
                    <w:rPr>
                      <w:rFonts w:hint="eastAsia" w:ascii="Times New Roman" w:hAnsi="Times New Roman" w:eastAsia="宋体" w:cs="Times New Roman"/>
                      <w:bCs/>
                      <w:szCs w:val="21"/>
                    </w:rPr>
                    <w:t>；</w:t>
                  </w:r>
                  <w:r>
                    <w:rPr>
                      <w:rFonts w:hint="eastAsia" w:ascii="宋体" w:hAnsi="宋体" w:eastAsia="宋体" w:cs="宋体"/>
                      <w:szCs w:val="21"/>
                    </w:rPr>
                    <w:t>④</w:t>
                  </w:r>
                  <w:r>
                    <w:rPr>
                      <w:rFonts w:ascii="Times New Roman" w:hAnsi="Times New Roman" w:eastAsia="宋体" w:cs="Times New Roman"/>
                      <w:szCs w:val="21"/>
                    </w:rPr>
                    <w:t>本次评价未开展地下水环境质量现状调查工作、土壤环境质量现状调查工作、生态环境质量现状调查工作和电磁辐射现状调查工作</w:t>
                  </w:r>
                  <w:r>
                    <w:rPr>
                      <w:rFonts w:ascii="Times New Roman" w:hAnsi="Times New Roman" w:eastAsia="宋体" w:cs="Times New Roman"/>
                      <w:szCs w:val="21"/>
                      <w:lang w:val="zh-CN"/>
                    </w:rPr>
                    <w:t>。本项目严格执行环评提出的各项污染防治措施后，大气污染物和噪声均可达标排放、废水全部综合利用、固体废物全部综合利用或合理处置，不会明显增加区域环境压力。</w:t>
                  </w:r>
                </w:p>
              </w:tc>
              <w:tc>
                <w:tcPr>
                  <w:tcW w:w="874"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1849"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资源利用上线</w:t>
                  </w:r>
                </w:p>
              </w:tc>
              <w:tc>
                <w:tcPr>
                  <w:tcW w:w="6173" w:type="dxa"/>
                  <w:vAlign w:val="center"/>
                </w:tcPr>
                <w:p>
                  <w:pPr>
                    <w:adjustRightInd w:val="0"/>
                    <w:rPr>
                      <w:rFonts w:ascii="Times New Roman" w:hAnsi="Times New Roman" w:eastAsia="宋体" w:cs="Times New Roman"/>
                      <w:szCs w:val="21"/>
                    </w:rPr>
                  </w:pPr>
                  <w:r>
                    <w:rPr>
                      <w:rFonts w:ascii="Times New Roman" w:hAnsi="Times New Roman" w:eastAsia="宋体" w:cs="Times New Roman"/>
                      <w:color w:val="000000"/>
                      <w:szCs w:val="21"/>
                    </w:rPr>
                    <w:t>本项目所用原料黄豆等，不涉及资源开采；</w:t>
                  </w:r>
                  <w:r>
                    <w:rPr>
                      <w:rFonts w:ascii="Times New Roman" w:hAnsi="Times New Roman" w:eastAsia="宋体" w:cs="Times New Roman"/>
                      <w:szCs w:val="21"/>
                    </w:rPr>
                    <w:t>本项目消耗的能源主要为电能、水，节能措施：</w:t>
                  </w:r>
                  <w:r>
                    <w:rPr>
                      <w:rFonts w:hint="eastAsia" w:ascii="宋体" w:hAnsi="宋体" w:eastAsia="宋体" w:cs="宋体"/>
                      <w:szCs w:val="21"/>
                    </w:rPr>
                    <w:t>①</w:t>
                  </w:r>
                  <w:r>
                    <w:rPr>
                      <w:rFonts w:ascii="Times New Roman" w:hAnsi="Times New Roman" w:eastAsia="宋体" w:cs="Times New Roman"/>
                      <w:szCs w:val="21"/>
                    </w:rPr>
                    <w:t>根据用电设备相关参数设置合理容量的变压器，避免其长期处于空载或轻载状态而造成额外的电能损耗；</w:t>
                  </w:r>
                  <w:r>
                    <w:rPr>
                      <w:rFonts w:hint="eastAsia" w:ascii="宋体" w:hAnsi="宋体" w:eastAsia="宋体" w:cs="宋体"/>
                      <w:szCs w:val="21"/>
                    </w:rPr>
                    <w:t>②</w:t>
                  </w:r>
                  <w:r>
                    <w:rPr>
                      <w:rFonts w:ascii="Times New Roman" w:hAnsi="Times New Roman" w:eastAsia="宋体" w:cs="Times New Roman"/>
                      <w:szCs w:val="21"/>
                    </w:rPr>
                    <w:t>定期维修保养用电设备，保证其运行状态良好，避免造成额外的电能损耗。</w:t>
                  </w:r>
                  <w:r>
                    <w:rPr>
                      <w:rFonts w:hint="eastAsia" w:ascii="宋体" w:hAnsi="宋体" w:eastAsia="宋体" w:cs="宋体"/>
                      <w:szCs w:val="21"/>
                    </w:rPr>
                    <w:t>③</w:t>
                  </w:r>
                  <w:r>
                    <w:rPr>
                      <w:rFonts w:ascii="Times New Roman" w:hAnsi="Times New Roman" w:eastAsia="宋体" w:cs="Times New Roman"/>
                      <w:szCs w:val="21"/>
                    </w:rPr>
                    <w:t>根据废水类型，尽量选择经处理后综合利用的方式处置废水</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w:t>
                  </w:r>
                </w:p>
              </w:tc>
              <w:tc>
                <w:tcPr>
                  <w:tcW w:w="1849"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环境准入负面清单</w:t>
                  </w:r>
                </w:p>
              </w:tc>
              <w:tc>
                <w:tcPr>
                  <w:tcW w:w="6173"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所在地还未制定《环境准入负面清单》，参照《市场准入负面清单（2020年版）》（发改体改规【2020】1880号）进行符合性分析，本项目不属于禁止准入类和许可准入类，对于市场准入负面清单以外的行业、领域和业务等，各类市场主体皆可依法平等进入。</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（2）项目与《山西省人民政府关于实施“三线一单”生态环境分区管控的意见》（晋政发【2020】26号）符合性分析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根据《山西省人民政府关于实施“三线一单”生态环境分区管控的意见》（晋政发【2020】26号）中“二、构建生态环境分区管控体系  （一）划分生态环境管控单元”可知，生态环境管控单元划分为优先保护单元、重点管控单元和一般管控单元，根据其附件“山西省生态环境管控单元图”可知，本项目所在地属于重点管控单元；根据其“二、构建生态环境分区管控体系  （二）制定生态环境准入清单”，分析项目与所在生态环境管控单元（重点管控单元）生态环境准入清单符合性，见表2。</w: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表2  项目与所在生态环境管控单元（重点管控单元）生态环境准入清单符合性分析一览表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4227"/>
              <w:gridCol w:w="3795"/>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422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具体要求</w:t>
                  </w:r>
                </w:p>
              </w:tc>
              <w:tc>
                <w:tcPr>
                  <w:tcW w:w="379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本项目情况</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进一步优化空间布局，加强污染物排放控制和环境风险防控，不断提升资源能源利用效率，解决生态环境质量不达标、生态环境风险高等问题，实现减污降碳协同效应。</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本项目严格执行环评提出的各项污染防治措施后，</w:t>
                  </w:r>
                  <w:r>
                    <w:rPr>
                      <w:rFonts w:ascii="Times New Roman" w:hAnsi="Times New Roman" w:eastAsia="宋体" w:cs="Times New Roman"/>
                      <w:szCs w:val="21"/>
                      <w:lang w:val="zh-CN"/>
                    </w:rPr>
                    <w:t>大气污染物和噪声均可达标排放、废水及固体废物全部综合利用或合理处置</w:t>
                  </w:r>
                  <w:r>
                    <w:rPr>
                      <w:rFonts w:ascii="Times New Roman" w:hAnsi="Times New Roman" w:eastAsia="宋体" w:cs="Times New Roman"/>
                      <w:szCs w:val="21"/>
                    </w:rPr>
                    <w:t>。</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京津冀及周边地区和汾渭平原等国家大气污染联防联控重点区域，要加快调整优化产业结构、能源结构，严禁新增钢铁、焦化、铸造、水泥、平板玻璃等产能，要加快实施城市规划区“两高”企业搬迁，完善能源消费双控制度。</w:t>
                  </w:r>
                </w:p>
              </w:tc>
              <w:tc>
                <w:tcPr>
                  <w:tcW w:w="3795" w:type="dxa"/>
                  <w:vAlign w:val="center"/>
                </w:tcPr>
                <w:p>
                  <w:pPr>
                    <w:rPr>
                      <w:rFonts w:ascii="Times New Roman" w:hAnsi="Times New Roman" w:eastAsia="宋体" w:cs="Times New Roman"/>
                      <w:szCs w:val="21"/>
                      <w:highlight w:val="yellow"/>
                    </w:rPr>
                  </w:pPr>
                  <w:r>
                    <w:rPr>
                      <w:rFonts w:ascii="Times New Roman" w:hAnsi="Times New Roman" w:eastAsia="宋体" w:cs="Times New Roman"/>
                      <w:szCs w:val="21"/>
                    </w:rPr>
                    <w:t>本项目腐竹生产属于国民经济行业类别C1392豆制品制造，不属于“两高”行业。</w:t>
                  </w:r>
                </w:p>
              </w:tc>
              <w:tc>
                <w:tcPr>
                  <w:tcW w:w="874"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3"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实施企业绩效分级分类管控，强化联防联控，持续推进清洁取暖散煤治理，严防“散乱污”企业反弹，积极应对重污染天气。</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rPr>
                    <w:t>本项目供暖利用宏光电厂蒸汽余热。</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w:t>
                  </w:r>
                </w:p>
              </w:tc>
              <w:tc>
                <w:tcPr>
                  <w:tcW w:w="4227"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太原及周边“1+30”汾河谷地区域在执行京津冀及周边地区和汾渭平原区域管控要求基础上，以资源环境承载力为约束，全面推进现有焦化、化工、钢铁、有色等重污染行业企业逐步退出城市规划区和县城建成区，推动焦化产能向资源禀赋好、环境承载力强、大气扩散条件优、铁路运输便利的区域转移。</w:t>
                  </w:r>
                </w:p>
              </w:tc>
              <w:tc>
                <w:tcPr>
                  <w:tcW w:w="3795"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本项目腐竹生产属于国民经济行业类别C1392豆制品制造，不属于重污染行业且位于柳林高红循环经济示范区内并符合其总体规划。</w:t>
                  </w:r>
                </w:p>
              </w:tc>
              <w:tc>
                <w:tcPr>
                  <w:tcW w:w="874" w:type="dxa"/>
                  <w:vAlign w:val="center"/>
                </w:tcPr>
                <w:p>
                  <w:pPr>
                    <w:adjustRightInd w:val="0"/>
                    <w:jc w:val="center"/>
                    <w:rPr>
                      <w:rFonts w:ascii="Times New Roman" w:hAnsi="Times New Roman" w:eastAsia="宋体" w:cs="Times New Roman"/>
                      <w:szCs w:val="21"/>
                      <w:highlight w:val="green"/>
                    </w:rPr>
                  </w:pPr>
                  <w:r>
                    <w:rPr>
                      <w:rFonts w:ascii="Times New Roman" w:hAnsi="Times New Roman" w:eastAsia="宋体" w:cs="Times New Roman"/>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5</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鼓励焦化、化工等传统产业实施“飞地经济”。</w:t>
                  </w:r>
                </w:p>
              </w:tc>
              <w:tc>
                <w:tcPr>
                  <w:tcW w:w="3795" w:type="dxa"/>
                  <w:vAlign w:val="center"/>
                </w:tcPr>
                <w:p>
                  <w:pPr>
                    <w:adjustRightInd w:val="0"/>
                    <w:rPr>
                      <w:rFonts w:ascii="Times New Roman" w:hAnsi="Times New Roman" w:eastAsia="宋体" w:cs="Times New Roman"/>
                      <w:szCs w:val="21"/>
                    </w:rPr>
                  </w:pPr>
                  <w:r>
                    <w:rPr>
                      <w:rFonts w:ascii="Times New Roman" w:hAnsi="Times New Roman" w:eastAsia="宋体" w:cs="Times New Roman"/>
                      <w:szCs w:val="21"/>
                    </w:rPr>
                    <w:t>本项目不涉及“飞地经济”发展模式。</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85"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6</w:t>
                  </w:r>
                </w:p>
              </w:tc>
              <w:tc>
                <w:tcPr>
                  <w:tcW w:w="4227" w:type="dxa"/>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汾河流域加强流域上下游左右岸污染统筹治理，严格入河排污口设置，实施汾河入河排污总量控制，积极推行流域城镇生活污水处理“厂—网—河（湖）”一体化运营模式，大力推进工业废水近零排放和资源化利用，实施城镇生活再生水资源化分质利用。</w:t>
                  </w:r>
                </w:p>
              </w:tc>
              <w:tc>
                <w:tcPr>
                  <w:tcW w:w="3795" w:type="dxa"/>
                  <w:vAlign w:val="center"/>
                </w:tcPr>
                <w:p>
                  <w:pPr>
                    <w:adjustRightInd w:val="0"/>
                    <w:rPr>
                      <w:rFonts w:ascii="Times New Roman" w:hAnsi="Times New Roman" w:eastAsia="宋体" w:cs="Times New Roman"/>
                      <w:szCs w:val="21"/>
                      <w:highlight w:val="yellow"/>
                    </w:rPr>
                  </w:pPr>
                  <w:r>
                    <w:rPr>
                      <w:rFonts w:ascii="Times New Roman" w:hAnsi="Times New Roman" w:eastAsia="宋体" w:cs="Times New Roman"/>
                      <w:szCs w:val="21"/>
                      <w:lang w:val="zh-CN"/>
                    </w:rPr>
                    <w:t>本项目产生的废水主要为生活污水和生产废水（清洗废水、浸泡废水、设备清洗废水、地面冲洗废水），生活污水</w:t>
                  </w:r>
                  <w:r>
                    <w:rPr>
                      <w:rFonts w:ascii="Times New Roman" w:hAnsi="Times New Roman" w:eastAsia="宋体" w:cs="Times New Roman"/>
                      <w:szCs w:val="21"/>
                    </w:rPr>
                    <w:t>（其中食堂废水经隔油器处理）</w:t>
                  </w:r>
                  <w:r>
                    <w:rPr>
                      <w:rFonts w:ascii="Times New Roman" w:hAnsi="Times New Roman" w:eastAsia="宋体" w:cs="Times New Roman"/>
                      <w:szCs w:val="21"/>
                      <w:lang w:val="zh-CN"/>
                    </w:rPr>
                    <w:t>及</w:t>
                  </w:r>
                  <w:r>
                    <w:rPr>
                      <w:rFonts w:ascii="Times New Roman" w:hAnsi="Times New Roman" w:eastAsia="宋体" w:cs="Times New Roman"/>
                      <w:szCs w:val="21"/>
                    </w:rPr>
                    <w:t>生产废水经车间内废水管道进入厂区废水处理站预处理，处理后</w:t>
                  </w:r>
                  <w:r>
                    <w:rPr>
                      <w:rFonts w:hint="eastAsia" w:ascii="Times New Roman" w:hAnsi="Times New Roman" w:eastAsia="宋体" w:cs="Times New Roman"/>
                      <w:szCs w:val="21"/>
                    </w:rPr>
                    <w:t>排入市政污</w:t>
                  </w:r>
                  <w:r>
                    <w:rPr>
                      <w:rFonts w:ascii="Times New Roman" w:hAnsi="Times New Roman" w:eastAsia="宋体" w:cs="Times New Roman"/>
                      <w:szCs w:val="21"/>
                    </w:rPr>
                    <w:t>水管网</w:t>
                  </w:r>
                  <w:r>
                    <w:rPr>
                      <w:rFonts w:hint="eastAsia" w:ascii="Times New Roman" w:hAnsi="Times New Roman" w:eastAsia="宋体" w:cs="Times New Roman"/>
                      <w:szCs w:val="21"/>
                    </w:rPr>
                    <w:t>，</w:t>
                  </w:r>
                  <w:r>
                    <w:rPr>
                      <w:rFonts w:ascii="Times New Roman" w:hAnsi="Times New Roman" w:eastAsia="宋体" w:cs="Times New Roman"/>
                      <w:szCs w:val="21"/>
                    </w:rPr>
                    <w:t>最终由柳林县污水处理厂处理</w:t>
                  </w:r>
                  <w:r>
                    <w:rPr>
                      <w:rFonts w:hint="eastAsia" w:ascii="Times New Roman" w:hAnsi="Times New Roman" w:eastAsia="宋体" w:cs="Times New Roman"/>
                      <w:szCs w:val="21"/>
                    </w:rPr>
                    <w:t>。</w:t>
                  </w:r>
                  <w:r>
                    <w:rPr>
                      <w:rFonts w:ascii="Times New Roman" w:hAnsi="Times New Roman" w:eastAsia="宋体" w:cs="Times New Roman"/>
                      <w:szCs w:val="21"/>
                    </w:rPr>
                    <w:t>本项目废水不向外环境排放</w:t>
                  </w:r>
                  <w:r>
                    <w:rPr>
                      <w:rFonts w:ascii="Times New Roman" w:hAnsi="Times New Roman" w:eastAsia="宋体" w:cs="Times New Roman"/>
                      <w:szCs w:val="21"/>
                      <w:lang w:val="zh-CN"/>
                    </w:rPr>
                    <w:t>。</w:t>
                  </w:r>
                </w:p>
              </w:tc>
              <w:tc>
                <w:tcPr>
                  <w:tcW w:w="87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符合</w:t>
                  </w:r>
                </w:p>
              </w:tc>
            </w:tr>
          </w:tbl>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（3）项目与《产业结构调整指导目录（2019年本）》（国家发展和改革委员会令第29号）符合性分析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查阅《产业结构调整指导目录（2019年本）》，本项目不涉及“限制类”和“淘汰类”中的工艺、装备及产品等，不违背《产业结构调整指导目录（2019年本）》。</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（4）项目与柳林县总体规划符合性分析</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柳林县城市总体规划，规划期限为2012年至2030年。城市性质定位为太原都市圈门户节点之一，晋陕地区转型发展示范基地，黄土高原丘陵沟壑生态区特色宜居城市，县域政治、经济、文化中心。</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规划柳林中心城区2015年人口规模为15万人，2020年人口规模为17 万人，2030年人口规模为20万人。规划2030年柳林城市建设用地规模约21km2。</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城市总体规划范围包括柳林镇的全部以及薛村镇、穆村镇、李家湾乡、贾家垣乡、庄上镇的部分用地，总计258km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规划的用地发展方向为：重点向北、南发展，局部向西。</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规划期内，柳林城市形成“一城五组团”城市空间结构，“一城”是指中心城区，“五组团”指东山组团、中心组团、穆村组团、城南组团、薛村组团。根据城市特点又细分为若干片区，五个组团划分如下：</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中心组团：综合服务片区、居住生活片区、青龙生活片区；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东山组团：东山居住片区、文体中心片区、高教居住片区、商务中心片区、教育科研片区；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薛村组团：薛村工业片区、高红工业片区；穆村组团：穆村工业片区、穆村生活片区；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城南组团：城南生活片区、物流片区、行政片区。</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本项目位于柳林县</w:t>
            </w:r>
            <w:r>
              <w:rPr>
                <w:rFonts w:hint="eastAsia" w:ascii="Times New Roman" w:hAnsi="Times New Roman" w:eastAsia="宋体" w:cs="Times New Roman"/>
                <w:sz w:val="24"/>
                <w:szCs w:val="24"/>
              </w:rPr>
              <w:t>穆村</w:t>
            </w:r>
            <w:r>
              <w:rPr>
                <w:rFonts w:ascii="Times New Roman" w:hAnsi="Times New Roman" w:eastAsia="宋体" w:cs="Times New Roman"/>
                <w:sz w:val="24"/>
                <w:szCs w:val="24"/>
              </w:rPr>
              <w:t>镇</w:t>
            </w:r>
            <w:r>
              <w:rPr>
                <w:rFonts w:hint="eastAsia" w:ascii="Times New Roman" w:hAnsi="Times New Roman" w:eastAsia="宋体" w:cs="Times New Roman"/>
                <w:sz w:val="24"/>
                <w:szCs w:val="24"/>
              </w:rPr>
              <w:t>安沟村东</w:t>
            </w:r>
            <w:r>
              <w:rPr>
                <w:rFonts w:ascii="Times New Roman" w:hAnsi="Times New Roman" w:eastAsia="宋体" w:cs="Times New Roman"/>
                <w:sz w:val="24"/>
                <w:szCs w:val="24"/>
              </w:rPr>
              <w:t>南</w:t>
            </w:r>
            <w:r>
              <w:rPr>
                <w:rFonts w:hint="eastAsia" w:ascii="Times New Roman" w:hAnsi="Times New Roman" w:eastAsia="宋体" w:cs="Times New Roman"/>
                <w:sz w:val="24"/>
                <w:szCs w:val="24"/>
              </w:rPr>
              <w:t>4</w:t>
            </w:r>
            <w:r>
              <w:rPr>
                <w:rFonts w:ascii="Times New Roman" w:hAnsi="Times New Roman" w:eastAsia="宋体" w:cs="Times New Roman"/>
                <w:sz w:val="24"/>
                <w:szCs w:val="24"/>
              </w:rPr>
              <w:t>00m处。</w:t>
            </w:r>
            <w:r>
              <w:rPr>
                <w:rFonts w:hint="eastAsia" w:ascii="Times New Roman" w:hAnsi="Times New Roman" w:eastAsia="宋体" w:cs="Times New Roman"/>
                <w:sz w:val="24"/>
                <w:szCs w:val="24"/>
              </w:rPr>
              <w:t>位于</w:t>
            </w:r>
            <w:r>
              <w:rPr>
                <w:rFonts w:ascii="Times New Roman" w:hAnsi="Times New Roman" w:eastAsia="宋体" w:cs="Times New Roman"/>
                <w:sz w:val="24"/>
                <w:szCs w:val="24"/>
              </w:rPr>
              <w:t>《柳林县城乡总体规划》（2012-2030年）中“一城五组团”的薛村组团</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不属于柳林县中心城区。本项目所占地块属于建设用地，项目的建设不违背柳林县城市总体规划。</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根据《柳林县生态功能分区图》，项目区属于IIA柳林</w:t>
            </w:r>
            <w:r>
              <w:rPr>
                <w:rFonts w:hint="eastAsia" w:ascii="Times New Roman" w:hAnsi="Times New Roman" w:eastAsia="宋体" w:cs="Times New Roman"/>
                <w:sz w:val="24"/>
                <w:szCs w:val="24"/>
              </w:rPr>
              <w:t>中</w:t>
            </w:r>
            <w:r>
              <w:rPr>
                <w:rFonts w:ascii="Times New Roman" w:hAnsi="Times New Roman" w:eastAsia="宋体" w:cs="Times New Roman"/>
                <w:sz w:val="24"/>
                <w:szCs w:val="24"/>
              </w:rPr>
              <w:t>部</w:t>
            </w:r>
            <w:r>
              <w:rPr>
                <w:rFonts w:hint="eastAsia" w:ascii="Times New Roman" w:hAnsi="Times New Roman" w:eastAsia="宋体" w:cs="Times New Roman"/>
                <w:sz w:val="24"/>
                <w:szCs w:val="24"/>
              </w:rPr>
              <w:t>生态环境保护生态功能类</w:t>
            </w:r>
            <w:r>
              <w:rPr>
                <w:rFonts w:ascii="Times New Roman" w:hAnsi="Times New Roman" w:eastAsia="宋体" w:cs="Times New Roman"/>
                <w:sz w:val="24"/>
                <w:szCs w:val="24"/>
              </w:rPr>
              <w:t>单元，</w:t>
            </w:r>
            <w:r>
              <w:rPr>
                <w:rFonts w:ascii="Times New Roman" w:hAnsi="Times New Roman" w:eastAsia="宋体" w:cs="Times New Roman"/>
                <w:bCs/>
                <w:sz w:val="24"/>
                <w:szCs w:val="24"/>
              </w:rPr>
              <w:t>该项目不属于污染严重、耗能量大的企业，本项目严格执行环评提出的各项污染防治措施后，大气污染物和噪声均可达标排放、废水及固体废物全部综合利用或合理处置，项目建设不违背</w:t>
            </w:r>
            <w:r>
              <w:rPr>
                <w:rFonts w:ascii="Times New Roman" w:hAnsi="Times New Roman" w:eastAsia="宋体" w:cs="Times New Roman"/>
                <w:sz w:val="24"/>
                <w:szCs w:val="24"/>
              </w:rPr>
              <w:t>柳林县生态功能规划。</w:t>
            </w:r>
          </w:p>
          <w:p>
            <w:pPr>
              <w:spacing w:line="480" w:lineRule="exact"/>
              <w:ind w:firstLine="480" w:firstLineChars="200"/>
              <w:rPr>
                <w:rFonts w:ascii="Times New Roman" w:hAnsi="Times New Roman" w:eastAsia="宋体" w:cs="Times New Roman"/>
                <w:color w:val="FF0000"/>
                <w:sz w:val="24"/>
                <w:highlight w:val="green"/>
              </w:rPr>
            </w:pPr>
            <w:r>
              <w:rPr>
                <w:rFonts w:ascii="Times New Roman" w:hAnsi="Times New Roman" w:eastAsia="宋体" w:cs="Times New Roman"/>
                <w:sz w:val="24"/>
                <w:szCs w:val="24"/>
              </w:rPr>
              <w:t>根据《柳林县生态经济分区图》，项目区属于IVB-1薛村穆村煤焦电循环经济生态经济区，项目建设不违背柳林县生态经济规划。</w:t>
            </w:r>
          </w:p>
          <w:p>
            <w:pPr>
              <w:widowControl/>
              <w:overflowPunct w:val="0"/>
              <w:autoSpaceDE w:val="0"/>
              <w:autoSpaceDN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（5）编制依据</w:t>
            </w:r>
          </w:p>
          <w:p>
            <w:pPr>
              <w:widowControl/>
              <w:overflowPunct w:val="0"/>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中华人民共和国环境保护法》、《中华人民共和国环境影响评价法》和《建设项目环境保护管理条例》等法律法规，本项目需进行环境影响评价，为此，山西省吕梁市柳林县穆村镇安沟村安沟股份经济合作社于2021年4月5日委托</w:t>
            </w:r>
            <w:r>
              <w:rPr>
                <w:rFonts w:hint="eastAsia" w:ascii="Times New Roman" w:hAnsi="Times New Roman" w:eastAsia="宋体" w:cs="Times New Roman"/>
                <w:sz w:val="24"/>
                <w:szCs w:val="24"/>
              </w:rPr>
              <w:t>山西</w:t>
            </w:r>
            <w:r>
              <w:rPr>
                <w:rFonts w:ascii="Times New Roman" w:hAnsi="Times New Roman" w:eastAsia="宋体" w:cs="Times New Roman"/>
                <w:sz w:val="24"/>
                <w:szCs w:val="24"/>
              </w:rPr>
              <w:t>新蓝环境咨询有限公司承担本项目环境影响评价工作。接受委托后，我公司立即组织项目参评人员到建设地点进行实地勘察和资料收集，在对项目工艺流程进行了解的基础上，对项目周围的自然环境、社会环境和地质情况等也进行了深入的了解和调查。现场踏勘期间，本项目还未开工建设。</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根据《建设项目环境影响评价分类管理名录（2021年版）》（生态环境部令第16号），本项目为腐竹生产项目，属于“十、农副食品加工业  20其他农副食品加工”项目类别中“豆制品制造”</w:t>
            </w:r>
            <w:r>
              <w:rPr>
                <w:rFonts w:ascii="Times New Roman" w:hAnsi="Times New Roman" w:eastAsia="宋体" w:cs="Times New Roman"/>
                <w:color w:val="000000"/>
                <w:sz w:val="24"/>
                <w:szCs w:val="24"/>
              </w:rPr>
              <w:t>，应编制环境影响报告表。根</w:t>
            </w:r>
            <w:r>
              <w:rPr>
                <w:rFonts w:ascii="Times New Roman" w:hAnsi="Times New Roman" w:eastAsia="宋体" w:cs="Times New Roman"/>
                <w:sz w:val="24"/>
                <w:szCs w:val="24"/>
              </w:rPr>
              <w:t>据《建设项目环境影响报告表编制技术指南（污染影响类）（试行）》及有关环评导则规范，结合本项目的相关资料，本着“科学、公正、客观”的态度，编制完成了《山西省吕梁市柳林县穆村镇安沟村安沟股份经济合作社年产5000吨豆制品生产项目环境影响报告表（报审稿）》。</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bCs/>
                <w:kern w:val="0"/>
                <w:sz w:val="24"/>
                <w:szCs w:val="24"/>
              </w:rPr>
              <w:t>2021年</w:t>
            </w:r>
            <w:r>
              <w:rPr>
                <w:rFonts w:hint="eastAsia" w:ascii="Times New Roman" w:hAnsi="Times New Roman" w:eastAsia="宋体" w:cs="Times New Roman"/>
                <w:bCs/>
                <w:kern w:val="0"/>
                <w:sz w:val="24"/>
                <w:szCs w:val="24"/>
              </w:rPr>
              <w:t>6</w:t>
            </w:r>
            <w:r>
              <w:rPr>
                <w:rFonts w:ascii="Times New Roman" w:hAnsi="Times New Roman" w:eastAsia="宋体" w:cs="Times New Roman"/>
                <w:bCs/>
                <w:kern w:val="0"/>
                <w:sz w:val="24"/>
                <w:szCs w:val="24"/>
              </w:rPr>
              <w:t>月26日召开了该项目环境影响报告</w:t>
            </w:r>
            <w:r>
              <w:rPr>
                <w:rFonts w:hint="eastAsia" w:ascii="Times New Roman" w:hAnsi="Times New Roman" w:eastAsia="宋体" w:cs="Times New Roman"/>
                <w:bCs/>
                <w:kern w:val="0"/>
                <w:sz w:val="24"/>
                <w:szCs w:val="24"/>
              </w:rPr>
              <w:t>表</w:t>
            </w:r>
            <w:r>
              <w:rPr>
                <w:rFonts w:ascii="Times New Roman" w:hAnsi="Times New Roman" w:eastAsia="宋体" w:cs="Times New Roman"/>
                <w:bCs/>
                <w:kern w:val="0"/>
                <w:sz w:val="24"/>
                <w:szCs w:val="24"/>
              </w:rPr>
              <w:t>的专家技术审查会，根据专家技术审查意见，对该报告进行了完善与修改，现将《山西省吕梁市柳林县穆村镇安沟村安沟股份经济合作社年产5000吨豆制品生产项目环境影响报告表》（报批本）。提交建设单位报请生态环境主管部门审批。</w:t>
            </w: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ind w:firstLine="480" w:firstLineChars="200"/>
              <w:rPr>
                <w:rFonts w:ascii="Times New Roman" w:hAnsi="Times New Roman" w:eastAsia="宋体" w:cs="Times New Roman"/>
                <w:color w:val="000000"/>
                <w:sz w:val="24"/>
                <w:szCs w:val="24"/>
              </w:rPr>
            </w:pPr>
          </w:p>
          <w:p>
            <w:pPr>
              <w:widowControl/>
              <w:overflowPunct w:val="0"/>
              <w:autoSpaceDE w:val="0"/>
              <w:autoSpaceDN w:val="0"/>
              <w:spacing w:line="480" w:lineRule="exact"/>
              <w:rPr>
                <w:rFonts w:ascii="Times New Roman" w:hAnsi="Times New Roman" w:eastAsia="宋体" w:cs="Times New Roman"/>
                <w:b/>
                <w:bCs/>
                <w:color w:val="FF0000"/>
                <w:sz w:val="24"/>
                <w:szCs w:val="24"/>
                <w:highlight w:val="green"/>
              </w:rPr>
            </w:pPr>
          </w:p>
        </w:tc>
      </w:tr>
    </w:tbl>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before="156" w:beforeLines="50" w:after="156" w:afterLines="50" w:line="240" w:lineRule="auto"/>
        <w:ind w:left="0" w:firstLine="0"/>
        <w:jc w:val="center"/>
        <w:rPr>
          <w:rFonts w:eastAsia="宋体"/>
          <w:b w:val="0"/>
          <w:bCs w:val="0"/>
        </w:rPr>
      </w:pPr>
      <w:r>
        <w:rPr>
          <w:rFonts w:eastAsia="宋体"/>
          <w:b w:val="0"/>
          <w:bCs w:val="0"/>
        </w:rPr>
        <w:t>二、建设项目工程分析</w:t>
      </w:r>
    </w:p>
    <w:tbl>
      <w:tblPr>
        <w:tblStyle w:val="21"/>
        <w:tblW w:w="1026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建设内容</w:t>
            </w:r>
          </w:p>
        </w:tc>
        <w:tc>
          <w:tcPr>
            <w:tcW w:w="9807" w:type="dxa"/>
            <w:tcBorders>
              <w:tl2br w:val="nil"/>
              <w:tr2bl w:val="nil"/>
            </w:tcBorders>
          </w:tcPr>
          <w:p>
            <w:pPr>
              <w:widowControl/>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（1）建设规模：年产5000吨腐竹</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（2）建设性质：新建</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（3）职工定员：150人</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（4）工作制度：年工作300天，</w:t>
            </w:r>
            <w:r>
              <w:rPr>
                <w:rFonts w:hint="eastAsia" w:ascii="Times New Roman" w:hAnsi="Times New Roman" w:eastAsia="宋体" w:cs="Times New Roman"/>
                <w:sz w:val="24"/>
                <w:szCs w:val="24"/>
                <w:lang w:val="en-US" w:eastAsia="zh-CN"/>
              </w:rPr>
              <w:t>三</w:t>
            </w:r>
            <w:r>
              <w:rPr>
                <w:rFonts w:ascii="Times New Roman" w:hAnsi="Times New Roman" w:eastAsia="宋体" w:cs="Times New Roman"/>
                <w:sz w:val="24"/>
                <w:szCs w:val="24"/>
              </w:rPr>
              <w:t>班制，每班8小时。</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w:t>
            </w:r>
            <w:r>
              <w:rPr>
                <w:rFonts w:ascii="Times New Roman" w:hAnsi="Times New Roman" w:eastAsia="宋体" w:cs="Times New Roman"/>
                <w:bCs/>
                <w:sz w:val="24"/>
                <w:szCs w:val="24"/>
              </w:rPr>
              <w:t>建设地点：柳林县</w:t>
            </w:r>
            <w:r>
              <w:rPr>
                <w:rFonts w:hint="eastAsia" w:ascii="Times New Roman" w:hAnsi="Times New Roman" w:eastAsia="宋体" w:cs="Times New Roman"/>
                <w:bCs/>
                <w:sz w:val="24"/>
                <w:szCs w:val="24"/>
              </w:rPr>
              <w:t>穆村</w:t>
            </w:r>
            <w:r>
              <w:rPr>
                <w:rFonts w:ascii="Times New Roman" w:hAnsi="Times New Roman" w:eastAsia="宋体" w:cs="Times New Roman"/>
                <w:bCs/>
                <w:sz w:val="24"/>
                <w:szCs w:val="24"/>
              </w:rPr>
              <w:t>镇</w:t>
            </w:r>
            <w:r>
              <w:rPr>
                <w:rFonts w:hint="eastAsia" w:ascii="Times New Roman" w:hAnsi="Times New Roman" w:eastAsia="宋体" w:cs="Times New Roman"/>
                <w:bCs/>
                <w:sz w:val="24"/>
                <w:szCs w:val="24"/>
              </w:rPr>
              <w:t>安沟村东</w:t>
            </w:r>
            <w:r>
              <w:rPr>
                <w:rFonts w:ascii="Times New Roman" w:hAnsi="Times New Roman" w:eastAsia="宋体" w:cs="Times New Roman"/>
                <w:bCs/>
                <w:sz w:val="24"/>
                <w:szCs w:val="24"/>
              </w:rPr>
              <w:t>南</w:t>
            </w:r>
            <w:r>
              <w:rPr>
                <w:rFonts w:hint="eastAsia" w:ascii="Times New Roman" w:hAnsi="Times New Roman" w:eastAsia="宋体" w:cs="Times New Roman"/>
                <w:bCs/>
                <w:sz w:val="24"/>
                <w:szCs w:val="24"/>
              </w:rPr>
              <w:t>4</w:t>
            </w:r>
            <w:r>
              <w:rPr>
                <w:rFonts w:ascii="Times New Roman" w:hAnsi="Times New Roman" w:eastAsia="宋体" w:cs="Times New Roman"/>
                <w:bCs/>
                <w:sz w:val="24"/>
                <w:szCs w:val="24"/>
              </w:rPr>
              <w:t>00m处，项目厂区北侧</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西侧</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东侧为荒地</w:t>
            </w:r>
            <w:r>
              <w:rPr>
                <w:rFonts w:hint="eastAsia" w:ascii="Times New Roman" w:hAnsi="Times New Roman" w:eastAsia="宋体" w:cs="Times New Roman"/>
                <w:bCs/>
                <w:sz w:val="24"/>
                <w:szCs w:val="24"/>
              </w:rPr>
              <w:t>，南侧为废弃的砖厂</w:t>
            </w:r>
            <w:r>
              <w:rPr>
                <w:rFonts w:ascii="Times New Roman" w:hAnsi="Times New Roman" w:eastAsia="宋体" w:cs="Times New Roman"/>
                <w:bCs/>
                <w:sz w:val="24"/>
                <w:szCs w:val="24"/>
              </w:rPr>
              <w:t>。</w:t>
            </w:r>
            <w:r>
              <w:rPr>
                <w:rFonts w:hint="eastAsia" w:ascii="Times New Roman" w:hAnsi="Times New Roman" w:eastAsia="宋体" w:cs="Times New Roman"/>
                <w:bCs/>
                <w:sz w:val="24"/>
                <w:szCs w:val="24"/>
              </w:rPr>
              <w:t>厂</w:t>
            </w:r>
            <w:r>
              <w:rPr>
                <w:rFonts w:ascii="Times New Roman" w:hAnsi="Times New Roman" w:eastAsia="宋体" w:cs="Times New Roman"/>
                <w:bCs/>
                <w:sz w:val="24"/>
                <w:szCs w:val="24"/>
              </w:rPr>
              <w:t>区中心地理坐标为：东经</w:t>
            </w:r>
            <w:r>
              <w:rPr>
                <w:rFonts w:ascii="Times New Roman" w:hAnsi="Times New Roman" w:eastAsia="宋体" w:cs="Times New Roman"/>
                <w:sz w:val="24"/>
                <w:szCs w:val="24"/>
              </w:rPr>
              <w:t>110°49′33.33″</w:t>
            </w:r>
            <w:r>
              <w:rPr>
                <w:rFonts w:ascii="Times New Roman" w:hAnsi="Times New Roman" w:eastAsia="宋体" w:cs="Times New Roman"/>
                <w:bCs/>
                <w:sz w:val="24"/>
                <w:szCs w:val="24"/>
              </w:rPr>
              <w:t>，北纬</w:t>
            </w:r>
            <w:r>
              <w:rPr>
                <w:rFonts w:ascii="Times New Roman" w:hAnsi="Times New Roman" w:eastAsia="宋体" w:cs="Times New Roman"/>
                <w:sz w:val="24"/>
                <w:szCs w:val="24"/>
              </w:rPr>
              <w:t>37°24′43.31″</w:t>
            </w:r>
            <w:r>
              <w:rPr>
                <w:rFonts w:ascii="Times New Roman" w:hAnsi="Times New Roman" w:eastAsia="宋体" w:cs="Times New Roman"/>
                <w:bCs/>
                <w:sz w:val="24"/>
                <w:szCs w:val="24"/>
              </w:rPr>
              <w:t>。本项目地理位置见附图1，四邻关系见附图2。</w:t>
            </w:r>
          </w:p>
          <w:p>
            <w:pPr>
              <w:widowControl/>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w:t>
            </w:r>
            <w:r>
              <w:rPr>
                <w:rFonts w:ascii="Times New Roman" w:hAnsi="Times New Roman" w:eastAsia="宋体" w:cs="Times New Roman"/>
                <w:sz w:val="24"/>
                <w:szCs w:val="24"/>
              </w:rPr>
              <w:t>主要建设内容</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现场踏勘期间，本项目还未开工建设，占地范围内地势平坦、地表土壤裸露且无任何建构筑物，施工期不涉及任何拆除活动。本项目建设</w:t>
            </w:r>
            <w:r>
              <w:rPr>
                <w:rFonts w:hint="eastAsia" w:ascii="Times New Roman" w:hAnsi="Times New Roman" w:eastAsia="宋体" w:cs="Times New Roman"/>
                <w:sz w:val="24"/>
                <w:szCs w:val="24"/>
              </w:rPr>
              <w:t>9个</w:t>
            </w:r>
            <w:r>
              <w:rPr>
                <w:rFonts w:ascii="Times New Roman" w:hAnsi="Times New Roman" w:eastAsia="宋体" w:cs="Times New Roman"/>
                <w:sz w:val="24"/>
                <w:szCs w:val="24"/>
              </w:rPr>
              <w:t>生产车间、</w:t>
            </w:r>
            <w:r>
              <w:rPr>
                <w:rFonts w:hint="eastAsia" w:ascii="Times New Roman" w:hAnsi="Times New Roman" w:eastAsia="宋体" w:cs="Times New Roman"/>
                <w:sz w:val="24"/>
                <w:szCs w:val="24"/>
              </w:rPr>
              <w:t>每个</w:t>
            </w:r>
            <w:r>
              <w:rPr>
                <w:rFonts w:ascii="Times New Roman" w:hAnsi="Times New Roman" w:eastAsia="宋体" w:cs="Times New Roman"/>
                <w:sz w:val="24"/>
                <w:szCs w:val="24"/>
              </w:rPr>
              <w:t>车间</w:t>
            </w:r>
            <w:r>
              <w:rPr>
                <w:rFonts w:hint="eastAsia" w:ascii="Times New Roman" w:hAnsi="Times New Roman" w:eastAsia="宋体" w:cs="Times New Roman"/>
                <w:sz w:val="24"/>
                <w:szCs w:val="24"/>
              </w:rPr>
              <w:t>2</w:t>
            </w:r>
            <w:r>
              <w:rPr>
                <w:rFonts w:ascii="Times New Roman" w:hAnsi="Times New Roman" w:eastAsia="宋体" w:cs="Times New Roman"/>
                <w:sz w:val="24"/>
                <w:szCs w:val="24"/>
              </w:rPr>
              <w:t>0条生产线</w:t>
            </w:r>
            <w:r>
              <w:rPr>
                <w:rFonts w:hint="eastAsia" w:ascii="Times New Roman" w:hAnsi="Times New Roman" w:eastAsia="宋体" w:cs="Times New Roman"/>
                <w:sz w:val="24"/>
                <w:szCs w:val="24"/>
              </w:rPr>
              <w:t>、</w:t>
            </w:r>
            <w:r>
              <w:rPr>
                <w:rFonts w:ascii="Times New Roman" w:hAnsi="Times New Roman" w:eastAsia="宋体" w:cs="Times New Roman"/>
                <w:sz w:val="24"/>
                <w:szCs w:val="24"/>
              </w:rPr>
              <w:t>职工生活及业务用房等相关建筑设施，主要建设内容见表3。</w:t>
            </w:r>
          </w:p>
          <w:p>
            <w:pPr>
              <w:adjustRightInd w:val="0"/>
              <w:snapToGrid w:val="0"/>
              <w:spacing w:line="480" w:lineRule="exact"/>
              <w:jc w:val="center"/>
              <w:rPr>
                <w:rFonts w:ascii="Times New Roman" w:hAnsi="Times New Roman" w:eastAsia="宋体" w:cs="Times New Roman"/>
                <w:bCs/>
              </w:rPr>
            </w:pPr>
            <w:r>
              <w:rPr>
                <w:rFonts w:ascii="Times New Roman" w:hAnsi="Times New Roman" w:eastAsia="宋体" w:cs="Times New Roman"/>
                <w:bCs/>
              </w:rPr>
              <w:t>表3  主要建设内容一览表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439"/>
              <w:gridCol w:w="1174"/>
              <w:gridCol w:w="1137"/>
              <w:gridCol w:w="5547"/>
              <w:gridCol w:w="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建设内容</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645" w:type="dxa"/>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主体工程</w:t>
                  </w:r>
                </w:p>
              </w:tc>
              <w:tc>
                <w:tcPr>
                  <w:tcW w:w="2750" w:type="dxa"/>
                  <w:gridSpan w:val="3"/>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生产车间</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highlight w:val="yellow"/>
                    </w:rPr>
                  </w:pPr>
                  <w:r>
                    <w:rPr>
                      <w:rFonts w:ascii="Times New Roman" w:hAnsi="Times New Roman" w:eastAsia="宋体" w:cs="Times New Roman"/>
                      <w:szCs w:val="21"/>
                    </w:rPr>
                    <w:t>位于厂区中部，从西往东，分别设</w:t>
                  </w:r>
                  <w:r>
                    <w:rPr>
                      <w:rFonts w:hint="eastAsia" w:ascii="Times New Roman" w:hAnsi="Times New Roman" w:eastAsia="宋体" w:cs="Times New Roman"/>
                      <w:szCs w:val="21"/>
                    </w:rPr>
                    <w:t>9</w:t>
                  </w:r>
                  <w:r>
                    <w:rPr>
                      <w:rFonts w:ascii="Times New Roman" w:hAnsi="Times New Roman" w:eastAsia="宋体" w:cs="Times New Roman"/>
                      <w:szCs w:val="21"/>
                    </w:rPr>
                    <w:t>个相同规格的生产车间（长×宽×高：30m×13m×6m），砖混结构，房顶部采用彩钢结构全封闭，地面全部水泥硬化，每个生产车间内设20条生产线和1个烘干房。</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0" w:hRule="atLeast"/>
                <w:jc w:val="center"/>
              </w:trPr>
              <w:tc>
                <w:tcPr>
                  <w:tcW w:w="645" w:type="dxa"/>
                  <w:vMerge w:val="restart"/>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储运工程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原料储库</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位于厂区西侧，1层，长×宽×高：30m×20m×6m，砖混结构，</w:t>
                  </w:r>
                  <w:r>
                    <w:rPr>
                      <w:rFonts w:ascii="Times New Roman" w:hAnsi="Times New Roman" w:eastAsia="宋体" w:cs="Times New Roman"/>
                      <w:kern w:val="0"/>
                      <w:szCs w:val="21"/>
                      <w:lang w:val="zh-CN"/>
                    </w:rPr>
                    <w:t>房顶部采用彩钢结构全封闭</w:t>
                  </w:r>
                  <w:r>
                    <w:rPr>
                      <w:rFonts w:ascii="Times New Roman" w:hAnsi="Times New Roman" w:eastAsia="宋体" w:cs="Times New Roman"/>
                      <w:szCs w:val="21"/>
                    </w:rPr>
                    <w:t>，地面全部水泥硬化。</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成品储库</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位于厂区东南侧，1层，长×宽×高：30m×30m×6m，砖混结构，</w:t>
                  </w:r>
                  <w:r>
                    <w:rPr>
                      <w:rFonts w:ascii="Times New Roman" w:hAnsi="Times New Roman" w:eastAsia="宋体" w:cs="Times New Roman"/>
                      <w:kern w:val="0"/>
                      <w:szCs w:val="21"/>
                      <w:lang w:val="zh-CN"/>
                    </w:rPr>
                    <w:t>房顶部采用彩钢结构全封闭，</w:t>
                  </w:r>
                  <w:r>
                    <w:rPr>
                      <w:rFonts w:ascii="Times New Roman" w:hAnsi="Times New Roman" w:eastAsia="宋体" w:cs="Times New Roman"/>
                      <w:szCs w:val="21"/>
                    </w:rPr>
                    <w:t>地面全部水泥硬化。</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645" w:type="dxa"/>
                  <w:vMerge w:val="restart"/>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辅助工程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综合办公室</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位于厂区内东</w:t>
                  </w:r>
                  <w:r>
                    <w:rPr>
                      <w:rFonts w:hint="eastAsia" w:ascii="Times New Roman" w:hAnsi="Times New Roman" w:eastAsia="宋体" w:cs="Times New Roman"/>
                      <w:szCs w:val="21"/>
                    </w:rPr>
                    <w:t>南</w:t>
                  </w:r>
                  <w:r>
                    <w:rPr>
                      <w:rFonts w:ascii="Times New Roman" w:hAnsi="Times New Roman" w:eastAsia="宋体" w:cs="Times New Roman"/>
                      <w:szCs w:val="21"/>
                    </w:rPr>
                    <w:t>角，3</w:t>
                  </w:r>
                  <w:r>
                    <w:rPr>
                      <w:rFonts w:hint="eastAsia" w:ascii="Times New Roman" w:hAnsi="Times New Roman" w:eastAsia="宋体" w:cs="Times New Roman"/>
                      <w:szCs w:val="21"/>
                    </w:rPr>
                    <w:t>层，</w:t>
                  </w:r>
                  <w:r>
                    <w:rPr>
                      <w:rFonts w:ascii="Times New Roman" w:hAnsi="Times New Roman" w:eastAsia="宋体" w:cs="Times New Roman"/>
                      <w:szCs w:val="21"/>
                    </w:rPr>
                    <w:t>长×宽×高：20m×10m×4m，砖混结构，地面全部水泥硬化。</w:t>
                  </w:r>
                </w:p>
              </w:tc>
              <w:tc>
                <w:tcPr>
                  <w:tcW w:w="639" w:type="dxa"/>
                  <w:vMerge w:val="restart"/>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食堂及宿舍</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rPr>
                  </w:pPr>
                  <w:r>
                    <w:rPr>
                      <w:rFonts w:ascii="Times New Roman" w:hAnsi="Times New Roman" w:eastAsia="宋体" w:cs="Times New Roman"/>
                      <w:szCs w:val="21"/>
                    </w:rPr>
                    <w:t>位于厂区东南角，2层，长×宽×高：20m×10m×4m，砖混结构，地面全部水泥硬化。</w:t>
                  </w:r>
                </w:p>
              </w:tc>
              <w:tc>
                <w:tcPr>
                  <w:tcW w:w="639" w:type="dxa"/>
                  <w:vMerge w:val="continue"/>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restart"/>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公用工程</w:t>
                  </w: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供水</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highlight w:val="green"/>
                    </w:rPr>
                  </w:pPr>
                  <w:r>
                    <w:rPr>
                      <w:rFonts w:ascii="Times New Roman" w:hAnsi="Times New Roman" w:eastAsia="宋体" w:cs="Times New Roman"/>
                      <w:szCs w:val="21"/>
                    </w:rPr>
                    <w:t>本项目水源</w:t>
                  </w:r>
                  <w:r>
                    <w:rPr>
                      <w:rFonts w:hint="eastAsia" w:ascii="Times New Roman" w:hAnsi="Times New Roman" w:eastAsia="宋体" w:cs="Times New Roman"/>
                      <w:szCs w:val="21"/>
                    </w:rPr>
                    <w:t>由柳林县自来水厂通过供水管网提供</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供电</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eastAsia="宋体" w:cs="Times New Roman"/>
                      <w:szCs w:val="21"/>
                      <w:highlight w:val="green"/>
                    </w:rPr>
                  </w:pPr>
                  <w:r>
                    <w:rPr>
                      <w:rFonts w:ascii="Times New Roman" w:hAnsi="Times New Roman" w:eastAsia="宋体" w:cs="Times New Roman"/>
                      <w:color w:val="000000"/>
                      <w:szCs w:val="21"/>
                    </w:rPr>
                    <w:t>本项目供电线路引自柳林县</w:t>
                  </w:r>
                  <w:r>
                    <w:rPr>
                      <w:rFonts w:hint="eastAsia" w:ascii="Times New Roman" w:hAnsi="Times New Roman" w:eastAsia="宋体" w:cs="Times New Roman"/>
                      <w:color w:val="000000"/>
                      <w:szCs w:val="21"/>
                    </w:rPr>
                    <w:t>穆村</w:t>
                  </w:r>
                  <w:r>
                    <w:rPr>
                      <w:rFonts w:ascii="Times New Roman" w:hAnsi="Times New Roman" w:eastAsia="宋体" w:cs="Times New Roman"/>
                      <w:color w:val="000000"/>
                      <w:szCs w:val="21"/>
                    </w:rPr>
                    <w:t>镇</w:t>
                  </w:r>
                  <w:r>
                    <w:rPr>
                      <w:rFonts w:hint="eastAsia" w:ascii="Times New Roman" w:hAnsi="Times New Roman" w:eastAsia="宋体" w:cs="Times New Roman"/>
                      <w:color w:val="000000"/>
                      <w:szCs w:val="21"/>
                    </w:rPr>
                    <w:t>安沟</w:t>
                  </w:r>
                  <w:r>
                    <w:rPr>
                      <w:rFonts w:ascii="Times New Roman" w:hAnsi="Times New Roman" w:eastAsia="宋体" w:cs="Times New Roman"/>
                      <w:color w:val="000000"/>
                      <w:szCs w:val="21"/>
                    </w:rPr>
                    <w:t>供电站</w:t>
                  </w:r>
                  <w:r>
                    <w:rPr>
                      <w:rFonts w:ascii="Times New Roman" w:hAnsi="Times New Roman" w:eastAsia="宋体" w:cs="Times New Roman"/>
                      <w:szCs w:val="21"/>
                    </w:rPr>
                    <w:t>，本项目厂区</w:t>
                  </w:r>
                  <w:r>
                    <w:rPr>
                      <w:rFonts w:ascii="Times New Roman" w:hAnsi="Times New Roman" w:eastAsia="宋体" w:cs="Times New Roman"/>
                      <w:color w:val="000000"/>
                      <w:szCs w:val="21"/>
                    </w:rPr>
                    <w:t>设置2台容量为250KVA的变压器，可满足本项目用电需求</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top w:val="nil"/>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2750"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供暖</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hint="eastAsia" w:ascii="Times New Roman" w:hAnsi="Times New Roman" w:eastAsia="宋体" w:cs="Times New Roman"/>
                      <w:color w:val="000000"/>
                      <w:szCs w:val="21"/>
                      <w:lang w:val="en-US" w:eastAsia="zh-CN"/>
                    </w:rPr>
                  </w:pPr>
                  <w:r>
                    <w:rPr>
                      <w:rFonts w:ascii="Times New Roman" w:hAnsi="Times New Roman" w:eastAsia="宋体" w:cs="Times New Roman"/>
                      <w:color w:val="000000"/>
                      <w:szCs w:val="21"/>
                    </w:rPr>
                    <w:t>本项目生产、办公生活区供暖利用</w:t>
                  </w:r>
                  <w:r>
                    <w:rPr>
                      <w:rFonts w:hint="eastAsia" w:ascii="Times New Roman" w:hAnsi="Times New Roman" w:eastAsia="宋体" w:cs="Times New Roman"/>
                      <w:color w:val="000000"/>
                      <w:szCs w:val="21"/>
                    </w:rPr>
                    <w:t>山西柳林电力有限公司</w:t>
                  </w:r>
                  <w:r>
                    <w:rPr>
                      <w:rFonts w:ascii="Times New Roman" w:hAnsi="Times New Roman" w:eastAsia="宋体" w:cs="Times New Roman"/>
                      <w:color w:val="000000"/>
                      <w:szCs w:val="21"/>
                    </w:rPr>
                    <w:t>蒸汽余热</w:t>
                  </w:r>
                  <w:r>
                    <w:rPr>
                      <w:rFonts w:hint="eastAsia" w:ascii="Times New Roman" w:hAnsi="Times New Roman" w:eastAsia="宋体" w:cs="Times New Roman"/>
                      <w:color w:val="000000"/>
                      <w:szCs w:val="21"/>
                      <w:lang w:eastAsia="zh-CN"/>
                    </w:rPr>
                    <w:t>，</w:t>
                  </w:r>
                  <w:r>
                    <w:rPr>
                      <w:rFonts w:hint="eastAsia" w:ascii="Times New Roman" w:hAnsi="Times New Roman" w:eastAsia="宋体" w:cs="Times New Roman"/>
                      <w:color w:val="000000"/>
                      <w:szCs w:val="21"/>
                      <w:lang w:val="en-US" w:eastAsia="zh-CN"/>
                    </w:rPr>
                    <w:t>供蒸汽管线长度1.5km，管径0.3m，材质为无缝钢管。</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9" w:hRule="atLeast"/>
                <w:jc w:val="center"/>
              </w:trPr>
              <w:tc>
                <w:tcPr>
                  <w:tcW w:w="645" w:type="dxa"/>
                  <w:vMerge w:val="restart"/>
                  <w:tcBorders>
                    <w:top w:val="nil"/>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环保工程</w:t>
                  </w:r>
                </w:p>
              </w:tc>
              <w:tc>
                <w:tcPr>
                  <w:tcW w:w="439" w:type="dxa"/>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废气</w:t>
                  </w:r>
                </w:p>
              </w:tc>
              <w:tc>
                <w:tcPr>
                  <w:tcW w:w="117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污水处理站</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lang w:val="zh-CN"/>
                    </w:rPr>
                  </w:pPr>
                  <w:r>
                    <w:rPr>
                      <w:rFonts w:ascii="Times New Roman" w:hAnsi="Times New Roman" w:cs="Times New Roman"/>
                      <w:color w:val="000000"/>
                      <w:szCs w:val="21"/>
                    </w:rPr>
                    <w:t>NH</w:t>
                  </w:r>
                  <w:r>
                    <w:rPr>
                      <w:rFonts w:ascii="Times New Roman" w:hAnsi="Times New Roman" w:cs="Times New Roman"/>
                      <w:color w:val="000000"/>
                      <w:szCs w:val="21"/>
                      <w:vertAlign w:val="subscript"/>
                    </w:rPr>
                    <w:t>3</w:t>
                  </w:r>
                  <w:r>
                    <w:rPr>
                      <w:rFonts w:ascii="Times New Roman" w:hAnsi="Times New Roman" w:cs="Times New Roman"/>
                      <w:bCs/>
                      <w:color w:val="000000"/>
                      <w:szCs w:val="21"/>
                    </w:rPr>
                    <w:t>、H</w:t>
                  </w:r>
                  <w:r>
                    <w:rPr>
                      <w:rFonts w:ascii="Times New Roman" w:hAnsi="Times New Roman" w:cs="Times New Roman"/>
                      <w:bCs/>
                      <w:color w:val="000000"/>
                      <w:szCs w:val="21"/>
                      <w:vertAlign w:val="subscript"/>
                    </w:rPr>
                    <w:t>2</w:t>
                  </w:r>
                  <w:r>
                    <w:rPr>
                      <w:rFonts w:ascii="Times New Roman" w:hAnsi="Times New Roman" w:cs="Times New Roman"/>
                      <w:bCs/>
                      <w:color w:val="000000"/>
                      <w:szCs w:val="21"/>
                    </w:rPr>
                    <w:t>S</w:t>
                  </w:r>
                </w:p>
              </w:tc>
              <w:tc>
                <w:tcPr>
                  <w:tcW w:w="5547" w:type="dxa"/>
                  <w:tcBorders>
                    <w:top w:val="single" w:color="auto" w:sz="4" w:space="0"/>
                    <w:left w:val="nil"/>
                    <w:bottom w:val="single" w:color="auto" w:sz="4" w:space="0"/>
                    <w:right w:val="single" w:color="auto" w:sz="4" w:space="0"/>
                  </w:tcBorders>
                  <w:vAlign w:val="center"/>
                </w:tcPr>
                <w:p>
                  <w:pPr>
                    <w:autoSpaceDE w:val="0"/>
                    <w:autoSpaceDN w:val="0"/>
                    <w:adjustRightInd w:val="0"/>
                    <w:rPr>
                      <w:rFonts w:ascii="Times New Roman" w:hAnsi="Times New Roman" w:cs="Times New Roman"/>
                      <w:szCs w:val="21"/>
                    </w:rPr>
                  </w:pPr>
                  <w:r>
                    <w:rPr>
                      <w:rFonts w:ascii="Times New Roman" w:hAnsi="Times New Roman" w:cs="Times New Roman"/>
                      <w:szCs w:val="21"/>
                    </w:rPr>
                    <w:t>1、将沉淀池、污泥池等产生硫化氢、氨等进行加盖密闭处理，并定期喷洒除臭剂；</w:t>
                  </w:r>
                </w:p>
                <w:p>
                  <w:pPr>
                    <w:autoSpaceDE w:val="0"/>
                    <w:autoSpaceDN w:val="0"/>
                    <w:adjustRightInd w:val="0"/>
                    <w:rPr>
                      <w:rFonts w:ascii="Times New Roman" w:hAnsi="Times New Roman" w:eastAsia="宋体" w:cs="Times New Roman"/>
                      <w:szCs w:val="21"/>
                    </w:rPr>
                  </w:pPr>
                  <w:r>
                    <w:rPr>
                      <w:rFonts w:ascii="Times New Roman" w:hAnsi="Times New Roman" w:cs="Times New Roman"/>
                      <w:szCs w:val="21"/>
                    </w:rPr>
                    <w:t>2、厂区加强绿化，通过乔灌结合的立体绿化吸附部分恶臭，清新空气</w:t>
                  </w:r>
                </w:p>
              </w:tc>
              <w:tc>
                <w:tcPr>
                  <w:tcW w:w="63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restart"/>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废水</w:t>
                  </w:r>
                </w:p>
              </w:tc>
              <w:tc>
                <w:tcPr>
                  <w:tcW w:w="1174"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lang w:val="zh-CN"/>
                    </w:rPr>
                    <w:t>生产加工</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w:t>
                  </w:r>
                  <w:r>
                    <w:rPr>
                      <w:rFonts w:ascii="Times New Roman" w:hAnsi="Times New Roman" w:eastAsia="宋体" w:cs="Times New Roman"/>
                      <w:szCs w:val="21"/>
                    </w:rPr>
                    <w:t>氨氮、</w:t>
                  </w:r>
                  <w:r>
                    <w:rPr>
                      <w:rFonts w:ascii="Times New Roman" w:hAnsi="Times New Roman" w:cs="Times New Roman"/>
                      <w:szCs w:val="21"/>
                    </w:rPr>
                    <w:t>SS</w:t>
                  </w:r>
                </w:p>
              </w:tc>
              <w:tc>
                <w:tcPr>
                  <w:tcW w:w="5547" w:type="dxa"/>
                  <w:vMerge w:val="restart"/>
                  <w:tcBorders>
                    <w:top w:val="single" w:color="auto" w:sz="4" w:space="0"/>
                    <w:left w:val="nil"/>
                    <w:right w:val="single" w:color="auto" w:sz="4" w:space="0"/>
                  </w:tcBorders>
                  <w:vAlign w:val="center"/>
                </w:tcPr>
                <w:p>
                  <w:pPr>
                    <w:adjustRightInd w:val="0"/>
                    <w:rPr>
                      <w:rFonts w:hint="eastAsia" w:ascii="Times New Roman" w:hAnsi="Times New Roman" w:cs="Times New Roman" w:eastAsiaTheme="minorEastAsia"/>
                      <w:szCs w:val="21"/>
                      <w:lang w:val="en-US" w:eastAsia="zh-CN"/>
                    </w:rPr>
                  </w:pPr>
                  <w:r>
                    <w:rPr>
                      <w:rFonts w:ascii="Times New Roman" w:hAnsi="Times New Roman" w:cs="Times New Roman"/>
                      <w:color w:val="000000"/>
                      <w:szCs w:val="21"/>
                    </w:rPr>
                    <w:t>生活污水（其中食堂废水经隔油器处理）及生产废水经车间内废水管道进入厂区废水处理站预处理，</w:t>
                  </w:r>
                  <w:r>
                    <w:rPr>
                      <w:rFonts w:ascii="Times New Roman" w:hAnsi="Times New Roman" w:cs="Times New Roman"/>
                      <w:color w:val="000000"/>
                      <w:szCs w:val="21"/>
                      <w:highlight w:val="none"/>
                    </w:rPr>
                    <w:t>处理后排入市政污水管网，最终至柳林县污水处理厂</w:t>
                  </w:r>
                  <w:r>
                    <w:rPr>
                      <w:rFonts w:hint="eastAsia" w:ascii="Times New Roman" w:hAnsi="Times New Roman" w:cs="Times New Roman"/>
                      <w:color w:val="000000"/>
                      <w:szCs w:val="21"/>
                      <w:highlight w:val="none"/>
                      <w:lang w:eastAsia="zh-CN"/>
                    </w:rPr>
                    <w:t>。</w:t>
                  </w:r>
                  <w:r>
                    <w:rPr>
                      <w:rFonts w:hint="eastAsia" w:ascii="Times New Roman" w:hAnsi="Times New Roman" w:cs="Times New Roman"/>
                      <w:color w:val="000000"/>
                      <w:szCs w:val="21"/>
                      <w:highlight w:val="none"/>
                      <w:lang w:val="en-US" w:eastAsia="zh-CN"/>
                    </w:rPr>
                    <w:t>污水管网长度1.2km，内径0.4m，地埋式管道，埋深1.5m，材质为波纹管。</w:t>
                  </w:r>
                </w:p>
              </w:tc>
              <w:tc>
                <w:tcPr>
                  <w:tcW w:w="639" w:type="dxa"/>
                  <w:vMerge w:val="restart"/>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c>
                <w:tcPr>
                  <w:tcW w:w="1174"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lang w:val="zh-CN"/>
                    </w:rPr>
                    <w:t>职工办公生活</w:t>
                  </w:r>
                </w:p>
              </w:tc>
              <w:tc>
                <w:tcPr>
                  <w:tcW w:w="1137" w:type="dxa"/>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w:t>
                  </w:r>
                  <w:r>
                    <w:rPr>
                      <w:rFonts w:ascii="Times New Roman" w:hAnsi="Times New Roman" w:eastAsia="宋体" w:cs="Times New Roman"/>
                      <w:szCs w:val="21"/>
                    </w:rPr>
                    <w:t>氨氮、</w:t>
                  </w:r>
                  <w:r>
                    <w:rPr>
                      <w:rFonts w:ascii="Times New Roman" w:hAnsi="Times New Roman" w:cs="Times New Roman"/>
                      <w:szCs w:val="21"/>
                    </w:rPr>
                    <w:t>SS</w:t>
                  </w:r>
                </w:p>
              </w:tc>
              <w:tc>
                <w:tcPr>
                  <w:tcW w:w="5547" w:type="dxa"/>
                  <w:vMerge w:val="continue"/>
                  <w:tcBorders>
                    <w:left w:val="nil"/>
                    <w:bottom w:val="single" w:color="auto" w:sz="4" w:space="0"/>
                    <w:right w:val="single" w:color="auto" w:sz="4" w:space="0"/>
                  </w:tcBorders>
                  <w:vAlign w:val="center"/>
                </w:tcPr>
                <w:p>
                  <w:pPr>
                    <w:adjustRightInd w:val="0"/>
                    <w:rPr>
                      <w:rFonts w:ascii="Times New Roman" w:hAnsi="Times New Roman" w:eastAsia="宋体" w:cs="Times New Roman"/>
                      <w:szCs w:val="21"/>
                    </w:rPr>
                  </w:pPr>
                </w:p>
              </w:tc>
              <w:tc>
                <w:tcPr>
                  <w:tcW w:w="639" w:type="dxa"/>
                  <w:vMerge w:val="continue"/>
                  <w:tcBorders>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tcBorders>
                    <w:top w:val="nil"/>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1174"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cs="Times New Roman"/>
                      <w:szCs w:val="21"/>
                    </w:rPr>
                    <w:t>产噪设备</w:t>
                  </w:r>
                </w:p>
              </w:tc>
              <w:tc>
                <w:tcPr>
                  <w:tcW w:w="1137" w:type="dxa"/>
                  <w:tcBorders>
                    <w:top w:val="single" w:color="auto" w:sz="4" w:space="0"/>
                    <w:left w:val="nil"/>
                    <w:right w:val="single" w:color="auto" w:sz="4" w:space="0"/>
                  </w:tcBorders>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噪声</w:t>
                  </w:r>
                </w:p>
              </w:tc>
              <w:tc>
                <w:tcPr>
                  <w:tcW w:w="5547" w:type="dxa"/>
                  <w:tcBorders>
                    <w:top w:val="single" w:color="auto" w:sz="4" w:space="0"/>
                    <w:left w:val="nil"/>
                    <w:right w:val="single" w:color="auto" w:sz="4" w:space="0"/>
                  </w:tcBorders>
                  <w:vAlign w:val="center"/>
                </w:tcPr>
                <w:p>
                  <w:pPr>
                    <w:adjustRightInd w:val="0"/>
                    <w:snapToGrid w:val="0"/>
                    <w:rPr>
                      <w:rFonts w:ascii="Times New Roman" w:hAnsi="Times New Roman" w:cs="Times New Roman"/>
                      <w:szCs w:val="21"/>
                    </w:rPr>
                  </w:pPr>
                  <w:r>
                    <w:rPr>
                      <w:rFonts w:ascii="Times New Roman" w:hAnsi="Times New Roman" w:cs="Times New Roman"/>
                      <w:szCs w:val="21"/>
                    </w:rPr>
                    <w:t>安置在车间内，选用低噪设备，安装减震垫，采用消声、隔声措施、软管连接</w:t>
                  </w:r>
                </w:p>
              </w:tc>
              <w:tc>
                <w:tcPr>
                  <w:tcW w:w="639"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jc w:val="center"/>
              </w:trPr>
              <w:tc>
                <w:tcPr>
                  <w:tcW w:w="645" w:type="dxa"/>
                  <w:vMerge w:val="continue"/>
                  <w:tcBorders>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highlight w:val="green"/>
                    </w:rPr>
                  </w:pPr>
                </w:p>
              </w:tc>
              <w:tc>
                <w:tcPr>
                  <w:tcW w:w="439" w:type="dxa"/>
                  <w:vMerge w:val="restart"/>
                  <w:tcBorders>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固废</w:t>
                  </w:r>
                </w:p>
              </w:tc>
              <w:tc>
                <w:tcPr>
                  <w:tcW w:w="1174" w:type="dxa"/>
                  <w:tcBorders>
                    <w:top w:val="single" w:color="auto" w:sz="4" w:space="0"/>
                    <w:left w:val="nil"/>
                    <w:right w:val="single" w:color="auto" w:sz="4" w:space="0"/>
                  </w:tcBorders>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生产过程</w:t>
                  </w:r>
                </w:p>
              </w:tc>
              <w:tc>
                <w:tcPr>
                  <w:tcW w:w="1137" w:type="dxa"/>
                  <w:tcBorders>
                    <w:top w:val="single" w:color="auto" w:sz="4" w:space="0"/>
                    <w:left w:val="nil"/>
                    <w:right w:val="single" w:color="auto" w:sz="4" w:space="0"/>
                  </w:tcBorders>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豆渣</w:t>
                  </w:r>
                </w:p>
              </w:tc>
              <w:tc>
                <w:tcPr>
                  <w:tcW w:w="5547" w:type="dxa"/>
                  <w:tcBorders>
                    <w:top w:val="single" w:color="auto" w:sz="4" w:space="0"/>
                    <w:left w:val="nil"/>
                    <w:right w:val="single" w:color="auto" w:sz="4" w:space="0"/>
                  </w:tcBorders>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w:t>
                  </w:r>
                  <w:r>
                    <w:rPr>
                      <w:rFonts w:hint="eastAsia" w:ascii="Times New Roman" w:hAnsi="Times New Roman" w:cs="Times New Roman"/>
                      <w:szCs w:val="21"/>
                    </w:rPr>
                    <w:t>（位于厂区内北侧，长</w:t>
                  </w:r>
                  <w:r>
                    <w:rPr>
                      <w:rFonts w:hint="default" w:ascii="Arial" w:hAnsi="Arial" w:cs="Arial"/>
                      <w:szCs w:val="21"/>
                    </w:rPr>
                    <w:t>×</w:t>
                  </w:r>
                  <w:r>
                    <w:rPr>
                      <w:rFonts w:hint="eastAsia" w:ascii="Times New Roman" w:hAnsi="Times New Roman" w:cs="Times New Roman"/>
                      <w:szCs w:val="21"/>
                    </w:rPr>
                    <w:t>宽</w:t>
                  </w:r>
                  <w:r>
                    <w:rPr>
                      <w:rFonts w:hint="default" w:ascii="Arial" w:hAnsi="Arial" w:cs="Arial"/>
                      <w:szCs w:val="21"/>
                    </w:rPr>
                    <w:t>×</w:t>
                  </w:r>
                  <w:r>
                    <w:rPr>
                      <w:rFonts w:hint="eastAsia" w:ascii="Times New Roman" w:hAnsi="Times New Roman" w:cs="Times New Roman"/>
                      <w:szCs w:val="21"/>
                    </w:rPr>
                    <w:t>高：20m</w:t>
                  </w:r>
                  <w:r>
                    <w:rPr>
                      <w:rFonts w:hint="default" w:ascii="Arial" w:hAnsi="Arial" w:cs="Arial"/>
                      <w:szCs w:val="21"/>
                    </w:rPr>
                    <w:t>×</w:t>
                  </w:r>
                  <w:r>
                    <w:rPr>
                      <w:rFonts w:hint="eastAsia" w:ascii="Times New Roman" w:hAnsi="Times New Roman" w:cs="Times New Roman"/>
                      <w:szCs w:val="21"/>
                    </w:rPr>
                    <w:t>15m</w:t>
                  </w:r>
                  <w:r>
                    <w:rPr>
                      <w:rFonts w:hint="default" w:ascii="Arial" w:hAnsi="Arial" w:cs="Arial"/>
                      <w:szCs w:val="21"/>
                    </w:rPr>
                    <w:t>×</w:t>
                  </w:r>
                  <w:r>
                    <w:rPr>
                      <w:rFonts w:hint="eastAsia" w:ascii="Times New Roman" w:hAnsi="Times New Roman" w:cs="Times New Roman"/>
                      <w:szCs w:val="21"/>
                    </w:rPr>
                    <w:t>6m）</w:t>
                  </w:r>
                  <w:r>
                    <w:rPr>
                      <w:rFonts w:hint="eastAsia" w:ascii="Times New Roman" w:hAnsi="Times New Roman" w:cs="Times New Roman"/>
                      <w:szCs w:val="21"/>
                      <w:lang w:eastAsia="zh-CN"/>
                    </w:rPr>
                    <w:t>，</w:t>
                  </w:r>
                  <w:r>
                    <w:rPr>
                      <w:rFonts w:hint="eastAsia" w:ascii="Times New Roman" w:hAnsi="Times New Roman" w:cs="Times New Roman"/>
                      <w:szCs w:val="21"/>
                      <w:lang w:val="en-US" w:eastAsia="zh-CN"/>
                    </w:rPr>
                    <w:t>占地面积约300m</w:t>
                  </w:r>
                  <w:r>
                    <w:rPr>
                      <w:rFonts w:hint="eastAsia" w:ascii="Times New Roman" w:hAnsi="Times New Roman" w:cs="Times New Roman"/>
                      <w:szCs w:val="21"/>
                      <w:vertAlign w:val="superscript"/>
                      <w:lang w:val="en-US" w:eastAsia="zh-CN"/>
                    </w:rPr>
                    <w:t>2</w:t>
                  </w:r>
                  <w:r>
                    <w:rPr>
                      <w:rFonts w:ascii="Times New Roman" w:hAnsi="Times New Roman" w:cs="Times New Roman"/>
                      <w:szCs w:val="21"/>
                    </w:rPr>
                    <w:t>，定期</w:t>
                  </w:r>
                  <w:r>
                    <w:rPr>
                      <w:rFonts w:hint="eastAsia" w:ascii="Times New Roman" w:hAnsi="Times New Roman" w:cs="Times New Roman"/>
                      <w:szCs w:val="21"/>
                    </w:rPr>
                    <w:t>外售</w:t>
                  </w:r>
                  <w:r>
                    <w:rPr>
                      <w:rFonts w:ascii="Times New Roman" w:hAnsi="Times New Roman" w:cs="Times New Roman"/>
                      <w:szCs w:val="21"/>
                    </w:rPr>
                    <w:t>至</w:t>
                  </w:r>
                  <w:r>
                    <w:rPr>
                      <w:rFonts w:hint="eastAsia" w:ascii="Times New Roman" w:hAnsi="Times New Roman" w:cs="Times New Roman"/>
                      <w:szCs w:val="21"/>
                    </w:rPr>
                    <w:t>内黄县二安镇红勤饲料原料购销门市部，综合利用</w:t>
                  </w:r>
                </w:p>
              </w:tc>
              <w:tc>
                <w:tcPr>
                  <w:tcW w:w="639"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1"/>
                    </w:rPr>
                    <w:t>质检</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1"/>
                    </w:rPr>
                    <w:t>不合格品</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w:t>
                  </w:r>
                  <w:r>
                    <w:rPr>
                      <w:rFonts w:hint="eastAsia" w:ascii="Times New Roman" w:hAnsi="Times New Roman" w:cs="Times New Roman"/>
                      <w:szCs w:val="21"/>
                    </w:rPr>
                    <w:t>定期</w:t>
                  </w:r>
                  <w:r>
                    <w:rPr>
                      <w:rFonts w:ascii="Times New Roman" w:hAnsi="Times New Roman" w:cs="Times New Roman"/>
                      <w:szCs w:val="21"/>
                    </w:rPr>
                    <w:t>外售至</w:t>
                  </w:r>
                  <w:r>
                    <w:rPr>
                      <w:rFonts w:hint="eastAsia" w:ascii="Times New Roman" w:hAnsi="Times New Roman" w:cs="Times New Roman"/>
                      <w:szCs w:val="21"/>
                    </w:rPr>
                    <w:t>内黄县二安镇红勤饲料原料购销门市部，综合利用</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color w:val="000000"/>
                      <w:szCs w:val="21"/>
                      <w:lang w:val="zh-CN"/>
                    </w:rPr>
                    <w:t>污水处理</w:t>
                  </w:r>
                </w:p>
              </w:tc>
              <w:tc>
                <w:tcPr>
                  <w:tcW w:w="1137"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污泥</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lang w:val="zh-CN"/>
                    </w:rPr>
                    <w:t>暂存于厂区内</w:t>
                  </w:r>
                  <w:r>
                    <w:rPr>
                      <w:rFonts w:ascii="Times New Roman" w:hAnsi="Times New Roman" w:cs="Times New Roman"/>
                      <w:szCs w:val="21"/>
                    </w:rPr>
                    <w:t>一般工业固体废物暂存库，集中收集后作为肥料，外售</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原料包装</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废包装袋</w:t>
                  </w:r>
                </w:p>
              </w:tc>
              <w:tc>
                <w:tcPr>
                  <w:tcW w:w="5547" w:type="dxa"/>
                  <w:vAlign w:val="center"/>
                </w:tcPr>
                <w:p>
                  <w:pPr>
                    <w:adjustRightInd w:val="0"/>
                    <w:rPr>
                      <w:rFonts w:ascii="Times New Roman" w:hAnsi="Times New Roman" w:eastAsia="宋体" w:cs="Times New Roman"/>
                      <w:szCs w:val="21"/>
                      <w:lang w:val="zh-CN"/>
                    </w:rPr>
                  </w:pPr>
                  <w:r>
                    <w:rPr>
                      <w:rFonts w:ascii="Times New Roman" w:hAnsi="Times New Roman" w:cs="Times New Roman"/>
                      <w:szCs w:val="21"/>
                    </w:rPr>
                    <w:t>由供应厂家回收</w:t>
                  </w:r>
                </w:p>
              </w:tc>
              <w:tc>
                <w:tcPr>
                  <w:tcW w:w="639" w:type="dxa"/>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清洗浸泡</w:t>
                  </w:r>
                </w:p>
              </w:tc>
              <w:tc>
                <w:tcPr>
                  <w:tcW w:w="1137"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滤渣</w:t>
                  </w:r>
                </w:p>
              </w:tc>
              <w:tc>
                <w:tcPr>
                  <w:tcW w:w="5547" w:type="dxa"/>
                  <w:vMerge w:val="restart"/>
                  <w:vAlign w:val="center"/>
                </w:tcPr>
                <w:p>
                  <w:pPr>
                    <w:adjustRightInd w:val="0"/>
                    <w:rPr>
                      <w:rFonts w:ascii="Times New Roman" w:hAnsi="Times New Roman" w:eastAsia="宋体" w:cs="Times New Roman"/>
                      <w:szCs w:val="21"/>
                    </w:rPr>
                  </w:pPr>
                  <w:r>
                    <w:rPr>
                      <w:rFonts w:ascii="Times New Roman" w:hAnsi="Times New Roman" w:cs="Times New Roman"/>
                      <w:szCs w:val="21"/>
                      <w:lang w:val="zh-CN"/>
                    </w:rPr>
                    <w:t>由汽车定期运往</w:t>
                  </w:r>
                  <w:r>
                    <w:rPr>
                      <w:rFonts w:hint="eastAsia" w:ascii="Times New Roman" w:hAnsi="Times New Roman" w:cs="Times New Roman"/>
                      <w:szCs w:val="21"/>
                    </w:rPr>
                    <w:t>安沟村</w:t>
                  </w:r>
                  <w:r>
                    <w:rPr>
                      <w:rFonts w:ascii="Times New Roman" w:hAnsi="Times New Roman" w:cs="Times New Roman"/>
                      <w:szCs w:val="21"/>
                      <w:lang w:val="zh-CN"/>
                    </w:rPr>
                    <w:t>生活垃圾收集点，由</w:t>
                  </w:r>
                  <w:r>
                    <w:rPr>
                      <w:rFonts w:hint="eastAsia" w:ascii="Times New Roman" w:hAnsi="Times New Roman" w:cs="Times New Roman"/>
                      <w:szCs w:val="21"/>
                    </w:rPr>
                    <w:t>安沟村</w:t>
                  </w:r>
                  <w:r>
                    <w:rPr>
                      <w:rFonts w:ascii="Times New Roman" w:hAnsi="Times New Roman" w:cs="Times New Roman"/>
                      <w:szCs w:val="21"/>
                      <w:lang w:val="zh-CN"/>
                    </w:rPr>
                    <w:t>村委定期统一清运处理</w:t>
                  </w:r>
                </w:p>
              </w:tc>
              <w:tc>
                <w:tcPr>
                  <w:tcW w:w="639" w:type="dxa"/>
                  <w:vMerge w:val="restart"/>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未建新建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45" w:type="dxa"/>
                  <w:vMerge w:val="continue"/>
                  <w:tcBorders>
                    <w:left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439" w:type="dxa"/>
                  <w:vMerge w:val="continue"/>
                  <w:tcBorders>
                    <w:left w:val="nil"/>
                    <w:right w:val="single" w:color="auto" w:sz="4" w:space="0"/>
                  </w:tcBorders>
                </w:tcPr>
                <w:p>
                  <w:pPr>
                    <w:autoSpaceDE w:val="0"/>
                    <w:autoSpaceDN w:val="0"/>
                    <w:adjustRightInd w:val="0"/>
                    <w:jc w:val="center"/>
                    <w:rPr>
                      <w:rFonts w:ascii="Times New Roman" w:hAnsi="Times New Roman" w:eastAsia="宋体" w:cs="Times New Roman"/>
                      <w:szCs w:val="21"/>
                      <w:highlight w:val="green"/>
                    </w:rPr>
                  </w:pPr>
                </w:p>
              </w:tc>
              <w:tc>
                <w:tcPr>
                  <w:tcW w:w="1174" w:type="dxa"/>
                  <w:vAlign w:val="center"/>
                </w:tcPr>
                <w:p>
                  <w:pPr>
                    <w:autoSpaceDE w:val="0"/>
                    <w:autoSpaceDN w:val="0"/>
                    <w:adjustRightInd w:val="0"/>
                    <w:jc w:val="center"/>
                    <w:rPr>
                      <w:rFonts w:ascii="Times New Roman" w:hAnsi="Times New Roman" w:cs="Times New Roman"/>
                      <w:szCs w:val="21"/>
                      <w:lang w:val="zh-CN"/>
                    </w:rPr>
                  </w:pPr>
                  <w:r>
                    <w:rPr>
                      <w:rFonts w:ascii="Times New Roman" w:hAnsi="Times New Roman" w:cs="Times New Roman"/>
                      <w:szCs w:val="21"/>
                    </w:rPr>
                    <w:t>职工办公生活</w:t>
                  </w:r>
                </w:p>
              </w:tc>
              <w:tc>
                <w:tcPr>
                  <w:tcW w:w="1137" w:type="dxa"/>
                  <w:vAlign w:val="center"/>
                </w:tcPr>
                <w:p>
                  <w:pPr>
                    <w:adjustRightInd w:val="0"/>
                    <w:jc w:val="center"/>
                    <w:rPr>
                      <w:rFonts w:ascii="Times New Roman" w:hAnsi="Times New Roman" w:eastAsia="宋体" w:cs="Times New Roman"/>
                      <w:szCs w:val="21"/>
                      <w:lang w:val="zh-CN"/>
                    </w:rPr>
                  </w:pPr>
                  <w:r>
                    <w:rPr>
                      <w:rFonts w:ascii="Times New Roman" w:hAnsi="Times New Roman" w:cs="Times New Roman"/>
                      <w:szCs w:val="21"/>
                      <w:lang w:val="zh-CN"/>
                    </w:rPr>
                    <w:t>生活垃圾</w:t>
                  </w:r>
                </w:p>
              </w:tc>
              <w:tc>
                <w:tcPr>
                  <w:tcW w:w="5547" w:type="dxa"/>
                  <w:vMerge w:val="continue"/>
                  <w:vAlign w:val="center"/>
                </w:tcPr>
                <w:p>
                  <w:pPr>
                    <w:adjustRightInd w:val="0"/>
                    <w:rPr>
                      <w:rFonts w:ascii="Times New Roman" w:hAnsi="Times New Roman" w:eastAsia="宋体" w:cs="Times New Roman"/>
                      <w:szCs w:val="21"/>
                    </w:rPr>
                  </w:pPr>
                </w:p>
              </w:tc>
              <w:tc>
                <w:tcPr>
                  <w:tcW w:w="639" w:type="dxa"/>
                  <w:vMerge w:val="continue"/>
                  <w:vAlign w:val="center"/>
                </w:tcPr>
                <w:p>
                  <w:pPr>
                    <w:autoSpaceDE w:val="0"/>
                    <w:autoSpaceDN w:val="0"/>
                    <w:adjustRightInd w:val="0"/>
                    <w:jc w:val="center"/>
                    <w:rPr>
                      <w:rFonts w:ascii="Times New Roman" w:hAnsi="Times New Roman" w:eastAsia="宋体" w:cs="Times New Roman"/>
                      <w:szCs w:val="21"/>
                      <w:highlight w:val="green"/>
                    </w:rPr>
                  </w:pPr>
                </w:p>
              </w:tc>
            </w:tr>
          </w:tbl>
          <w:p>
            <w:pPr>
              <w:widowControl/>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（6）产品方案</w:t>
            </w:r>
          </w:p>
          <w:p>
            <w:pPr>
              <w:adjustRightInd w:val="0"/>
              <w:snapToGrid w:val="0"/>
              <w:spacing w:line="480" w:lineRule="exact"/>
              <w:jc w:val="center"/>
              <w:rPr>
                <w:rFonts w:ascii="Times New Roman" w:hAnsi="Times New Roman" w:eastAsia="宋体" w:cs="Times New Roman"/>
                <w:bCs/>
              </w:rPr>
            </w:pPr>
            <w:r>
              <w:rPr>
                <w:rFonts w:ascii="Times New Roman" w:hAnsi="Times New Roman" w:eastAsia="宋体" w:cs="Times New Roman"/>
                <w:bCs/>
              </w:rPr>
              <w:t>表4  产品方案一览表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996"/>
              <w:gridCol w:w="1822"/>
              <w:gridCol w:w="1702"/>
              <w:gridCol w:w="2834"/>
              <w:gridCol w:w="1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 w:hRule="atLeast"/>
                <w:jc w:val="center"/>
              </w:trPr>
              <w:tc>
                <w:tcPr>
                  <w:tcW w:w="719"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序号</w:t>
                  </w:r>
                </w:p>
              </w:tc>
              <w:tc>
                <w:tcPr>
                  <w:tcW w:w="996"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名称</w:t>
                  </w:r>
                </w:p>
              </w:tc>
              <w:tc>
                <w:tcPr>
                  <w:tcW w:w="182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年产量</w:t>
                  </w:r>
                </w:p>
              </w:tc>
              <w:tc>
                <w:tcPr>
                  <w:tcW w:w="170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包装方式</w:t>
                  </w:r>
                </w:p>
              </w:tc>
              <w:tc>
                <w:tcPr>
                  <w:tcW w:w="2834"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包装规格</w:t>
                  </w:r>
                </w:p>
              </w:tc>
              <w:tc>
                <w:tcPr>
                  <w:tcW w:w="1508"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贮存位置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19"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1</w:t>
                  </w:r>
                </w:p>
              </w:tc>
              <w:tc>
                <w:tcPr>
                  <w:tcW w:w="996"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腐竹</w:t>
                  </w:r>
                </w:p>
              </w:tc>
              <w:tc>
                <w:tcPr>
                  <w:tcW w:w="182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5000吨</w:t>
                  </w:r>
                </w:p>
              </w:tc>
              <w:tc>
                <w:tcPr>
                  <w:tcW w:w="1702"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袋装</w:t>
                  </w:r>
                </w:p>
              </w:tc>
              <w:tc>
                <w:tcPr>
                  <w:tcW w:w="2834"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1.5kg/袋、</w:t>
                  </w:r>
                </w:p>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0.2kg/袋、0.4kg/袋</w:t>
                  </w:r>
                </w:p>
              </w:tc>
              <w:tc>
                <w:tcPr>
                  <w:tcW w:w="1508" w:type="dxa"/>
                  <w:vAlign w:val="center"/>
                </w:tcPr>
                <w:p>
                  <w:pPr>
                    <w:autoSpaceDE w:val="0"/>
                    <w:autoSpaceDN w:val="0"/>
                    <w:adjustRightInd w:val="0"/>
                    <w:jc w:val="center"/>
                    <w:rPr>
                      <w:rFonts w:ascii="Times New Roman" w:hAnsi="Times New Roman" w:eastAsia="宋体" w:cs="Times New Roman"/>
                      <w:szCs w:val="24"/>
                    </w:rPr>
                  </w:pPr>
                  <w:r>
                    <w:rPr>
                      <w:rFonts w:ascii="Times New Roman" w:hAnsi="Times New Roman" w:eastAsia="宋体" w:cs="Times New Roman"/>
                      <w:szCs w:val="24"/>
                    </w:rPr>
                    <w:t>成品储库</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本项目产品标准执行</w:t>
            </w:r>
            <w:r>
              <w:rPr>
                <w:rFonts w:ascii="Times New Roman" w:hAnsi="Times New Roman" w:eastAsia="宋体" w:cs="Times New Roman"/>
                <w:bCs/>
                <w:sz w:val="24"/>
                <w:szCs w:val="24"/>
              </w:rPr>
              <w:t>《食品安全国家标准 豆制品》（GB2712-2014）、产品理化指标执行《非发酵豆制品》（GB/T22106-2008）。</w:t>
            </w:r>
          </w:p>
          <w:p>
            <w:pPr>
              <w:widowControl/>
              <w:adjustRightInd w:val="0"/>
              <w:snapToGrid w:val="0"/>
              <w:spacing w:line="480" w:lineRule="exact"/>
              <w:ind w:firstLine="420" w:firstLineChars="200"/>
              <w:jc w:val="center"/>
              <w:rPr>
                <w:rFonts w:ascii="Times New Roman" w:hAnsi="Times New Roman" w:eastAsia="宋体" w:cs="Times New Roman"/>
                <w:szCs w:val="24"/>
              </w:rPr>
            </w:pPr>
            <w:r>
              <w:rPr>
                <w:rFonts w:ascii="Times New Roman" w:hAnsi="Times New Roman" w:eastAsia="宋体" w:cs="Times New Roman"/>
                <w:szCs w:val="24"/>
              </w:rPr>
              <w:t>表5成品腐竹的质量要求</w:t>
            </w:r>
          </w:p>
          <w:tbl>
            <w:tblPr>
              <w:tblStyle w:val="22"/>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134"/>
              <w:gridCol w:w="1276"/>
              <w:gridCol w:w="1701"/>
              <w:gridCol w:w="2268"/>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7"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指标</w:t>
                  </w:r>
                </w:p>
              </w:tc>
              <w:tc>
                <w:tcPr>
                  <w:tcW w:w="1134"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水分</w:t>
                  </w:r>
                </w:p>
              </w:tc>
              <w:tc>
                <w:tcPr>
                  <w:tcW w:w="1276"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蛋白含量</w:t>
                  </w:r>
                </w:p>
              </w:tc>
              <w:tc>
                <w:tcPr>
                  <w:tcW w:w="1701"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外观</w:t>
                  </w:r>
                </w:p>
              </w:tc>
              <w:tc>
                <w:tcPr>
                  <w:tcW w:w="2268"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形态</w:t>
                  </w:r>
                </w:p>
              </w:tc>
              <w:tc>
                <w:tcPr>
                  <w:tcW w:w="2075"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7"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要求</w:t>
                  </w:r>
                </w:p>
              </w:tc>
              <w:tc>
                <w:tcPr>
                  <w:tcW w:w="1134"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9%-13%</w:t>
                  </w:r>
                </w:p>
              </w:tc>
              <w:tc>
                <w:tcPr>
                  <w:tcW w:w="1276"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≥45%</w:t>
                  </w:r>
                </w:p>
              </w:tc>
              <w:tc>
                <w:tcPr>
                  <w:tcW w:w="1701"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无可见外来杂质，无异味</w:t>
                  </w:r>
                </w:p>
              </w:tc>
              <w:tc>
                <w:tcPr>
                  <w:tcW w:w="2268"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浅黄色，有色泽，枝条粗细均匀</w:t>
                  </w:r>
                </w:p>
              </w:tc>
              <w:tc>
                <w:tcPr>
                  <w:tcW w:w="2075" w:type="dxa"/>
                  <w:vAlign w:val="center"/>
                </w:tcPr>
                <w:p>
                  <w:pPr>
                    <w:widowControl/>
                    <w:adjustRightInd w:val="0"/>
                    <w:snapToGrid w:val="0"/>
                    <w:spacing w:line="480" w:lineRule="exact"/>
                    <w:jc w:val="center"/>
                    <w:rPr>
                      <w:rFonts w:ascii="Times New Roman" w:hAnsi="Times New Roman" w:eastAsia="宋体" w:cs="Times New Roman"/>
                      <w:kern w:val="0"/>
                      <w:sz w:val="21"/>
                      <w:szCs w:val="24"/>
                    </w:rPr>
                  </w:pPr>
                  <w:r>
                    <w:rPr>
                      <w:rFonts w:ascii="Times New Roman" w:hAnsi="Times New Roman" w:eastAsia="宋体" w:cs="Times New Roman"/>
                      <w:kern w:val="0"/>
                      <w:sz w:val="21"/>
                      <w:szCs w:val="24"/>
                    </w:rPr>
                    <w:t>稍有空心，附水后有韧性、弹性</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（7）主要生产设备</w:t>
            </w:r>
          </w:p>
          <w:p>
            <w:pPr>
              <w:adjustRightInd w:val="0"/>
              <w:snapToGrid w:val="0"/>
              <w:spacing w:line="480" w:lineRule="exact"/>
              <w:jc w:val="center"/>
              <w:rPr>
                <w:rFonts w:ascii="Times New Roman" w:hAnsi="Times New Roman" w:eastAsia="宋体" w:cs="Times New Roman"/>
                <w:bCs/>
                <w:color w:val="FF0000"/>
              </w:rPr>
            </w:pPr>
            <w:r>
              <w:rPr>
                <w:rFonts w:ascii="Times New Roman" w:hAnsi="Times New Roman" w:eastAsia="宋体" w:cs="Times New Roman"/>
                <w:bCs/>
              </w:rPr>
              <w:t>表6  主要生产设备一览表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2820"/>
              <w:gridCol w:w="2821"/>
              <w:gridCol w:w="3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序号</w:t>
                  </w:r>
                </w:p>
              </w:tc>
              <w:tc>
                <w:tcPr>
                  <w:tcW w:w="2820"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名称</w:t>
                  </w:r>
                </w:p>
              </w:tc>
              <w:tc>
                <w:tcPr>
                  <w:tcW w:w="2821"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规格参数</w:t>
                  </w:r>
                </w:p>
              </w:tc>
              <w:tc>
                <w:tcPr>
                  <w:tcW w:w="3007"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w:t>
                  </w:r>
                </w:p>
              </w:tc>
              <w:tc>
                <w:tcPr>
                  <w:tcW w:w="2820" w:type="dxa"/>
                  <w:tcBorders>
                    <w:tl2br w:val="nil"/>
                    <w:tr2bl w:val="nil"/>
                  </w:tcBorders>
                  <w:vAlign w:val="center"/>
                </w:tcPr>
                <w:p>
                  <w:pPr>
                    <w:autoSpaceDE w:val="0"/>
                    <w:autoSpaceDN w:val="0"/>
                    <w:spacing w:before="123"/>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腐竹锅</w:t>
                  </w:r>
                </w:p>
              </w:tc>
              <w:tc>
                <w:tcPr>
                  <w:tcW w:w="2821" w:type="dxa"/>
                  <w:tcBorders>
                    <w:tl2br w:val="nil"/>
                    <w:tr2bl w:val="nil"/>
                  </w:tcBorders>
                  <w:vAlign w:val="center"/>
                </w:tcPr>
                <w:p>
                  <w:pPr>
                    <w:autoSpaceDE w:val="0"/>
                    <w:autoSpaceDN w:val="0"/>
                    <w:spacing w:before="123"/>
                    <w:ind w:left="17"/>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en-US" w:bidi="zh-CN"/>
                    </w:rPr>
                    <w:t>17.6</w:t>
                  </w:r>
                  <w:r>
                    <w:rPr>
                      <w:rFonts w:hint="default" w:ascii="Arial" w:hAnsi="Arial" w:eastAsia="宋体" w:cs="Arial"/>
                      <w:kern w:val="0"/>
                      <w:szCs w:val="21"/>
                      <w:highlight w:val="none"/>
                      <w:lang w:val="zh-CN" w:bidi="zh-CN"/>
                    </w:rPr>
                    <w:t>×</w:t>
                  </w:r>
                  <w:r>
                    <w:rPr>
                      <w:rFonts w:hint="eastAsia" w:ascii="Times New Roman" w:hAnsi="Times New Roman" w:eastAsia="宋体" w:cs="Times New Roman"/>
                      <w:kern w:val="0"/>
                      <w:szCs w:val="21"/>
                      <w:highlight w:val="none"/>
                      <w:lang w:val="en-US" w:bidi="zh-CN"/>
                    </w:rPr>
                    <w:t>1.72</w:t>
                  </w:r>
                  <w:r>
                    <w:rPr>
                      <w:rFonts w:ascii="Times New Roman" w:hAnsi="Times New Roman" w:eastAsia="宋体" w:cs="Times New Roman"/>
                      <w:kern w:val="0"/>
                      <w:szCs w:val="21"/>
                      <w:highlight w:val="none"/>
                      <w:lang w:val="zh-CN" w:bidi="zh-CN"/>
                    </w:rPr>
                    <w:t>米</w:t>
                  </w:r>
                </w:p>
              </w:tc>
              <w:tc>
                <w:tcPr>
                  <w:tcW w:w="3007" w:type="dxa"/>
                  <w:tcBorders>
                    <w:tl2br w:val="nil"/>
                    <w:tr2bl w:val="nil"/>
                  </w:tcBorders>
                  <w:vAlign w:val="center"/>
                </w:tcPr>
                <w:p>
                  <w:pPr>
                    <w:autoSpaceDE w:val="0"/>
                    <w:autoSpaceDN w:val="0"/>
                    <w:spacing w:before="123"/>
                    <w:ind w:left="600" w:right="585"/>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2</w:t>
                  </w:r>
                </w:p>
              </w:tc>
              <w:tc>
                <w:tcPr>
                  <w:tcW w:w="2820" w:type="dxa"/>
                  <w:tcBorders>
                    <w:tl2br w:val="nil"/>
                    <w:tr2bl w:val="nil"/>
                  </w:tcBorders>
                  <w:vAlign w:val="center"/>
                </w:tcPr>
                <w:p>
                  <w:pPr>
                    <w:autoSpaceDE w:val="0"/>
                    <w:autoSpaceDN w:val="0"/>
                    <w:spacing w:before="123"/>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磨浆机</w:t>
                  </w:r>
                </w:p>
              </w:tc>
              <w:tc>
                <w:tcPr>
                  <w:tcW w:w="2821" w:type="dxa"/>
                  <w:tcBorders>
                    <w:tl2br w:val="nil"/>
                    <w:tr2bl w:val="nil"/>
                  </w:tcBorders>
                  <w:vAlign w:val="center"/>
                </w:tcPr>
                <w:p>
                  <w:pPr>
                    <w:autoSpaceDE w:val="0"/>
                    <w:autoSpaceDN w:val="0"/>
                    <w:spacing w:before="123"/>
                    <w:ind w:left="17"/>
                    <w:jc w:val="center"/>
                    <w:rPr>
                      <w:rFonts w:ascii="Times New Roman" w:hAnsi="Times New Roman" w:eastAsia="宋体" w:cs="Times New Roman"/>
                      <w:kern w:val="0"/>
                      <w:szCs w:val="21"/>
                      <w:highlight w:val="none"/>
                      <w:lang w:val="en-US" w:bidi="zh-CN"/>
                    </w:rPr>
                  </w:pPr>
                  <w:r>
                    <w:rPr>
                      <w:rFonts w:hint="eastAsia" w:ascii="Times New Roman" w:hAnsi="Times New Roman" w:eastAsia="宋体" w:cs="Times New Roman"/>
                      <w:kern w:val="0"/>
                      <w:szCs w:val="21"/>
                      <w:highlight w:val="none"/>
                      <w:lang w:val="en-US" w:bidi="zh-CN"/>
                    </w:rPr>
                    <w:t>FDM-Z220型，生产能力0.4t/h，功率9.5kw</w:t>
                  </w:r>
                </w:p>
              </w:tc>
              <w:tc>
                <w:tcPr>
                  <w:tcW w:w="3007" w:type="dxa"/>
                  <w:tcBorders>
                    <w:tl2br w:val="nil"/>
                    <w:tr2bl w:val="nil"/>
                  </w:tcBorders>
                  <w:vAlign w:val="center"/>
                </w:tcPr>
                <w:p>
                  <w:pPr>
                    <w:autoSpaceDE w:val="0"/>
                    <w:autoSpaceDN w:val="0"/>
                    <w:spacing w:before="123"/>
                    <w:ind w:left="602" w:right="582"/>
                    <w:jc w:val="center"/>
                    <w:rPr>
                      <w:rFonts w:ascii="Times New Roman" w:hAnsi="Times New Roman" w:eastAsia="宋体" w:cs="Times New Roman"/>
                      <w:kern w:val="0"/>
                      <w:szCs w:val="21"/>
                      <w:highlight w:val="none"/>
                      <w:lang w:val="en-US" w:bidi="zh-CN"/>
                    </w:rPr>
                  </w:pPr>
                  <w:r>
                    <w:rPr>
                      <w:rFonts w:hint="eastAsia" w:ascii="Times New Roman" w:hAnsi="Times New Roman" w:eastAsia="宋体" w:cs="Times New Roman"/>
                      <w:kern w:val="0"/>
                      <w:szCs w:val="21"/>
                      <w:highlight w:val="none"/>
                      <w:lang w:val="en-US" w:bidi="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3</w:t>
                  </w:r>
                </w:p>
              </w:tc>
              <w:tc>
                <w:tcPr>
                  <w:tcW w:w="2820" w:type="dxa"/>
                  <w:tcBorders>
                    <w:tl2br w:val="nil"/>
                    <w:tr2bl w:val="nil"/>
                  </w:tcBorders>
                  <w:vAlign w:val="center"/>
                </w:tcPr>
                <w:p>
                  <w:pPr>
                    <w:autoSpaceDE w:val="0"/>
                    <w:autoSpaceDN w:val="0"/>
                    <w:spacing w:before="123"/>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洗豆机</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2×1×1m</w:t>
                  </w:r>
                </w:p>
              </w:tc>
              <w:tc>
                <w:tcPr>
                  <w:tcW w:w="3007" w:type="dxa"/>
                  <w:tcBorders>
                    <w:tl2br w:val="nil"/>
                    <w:tr2bl w:val="nil"/>
                  </w:tcBorders>
                  <w:vAlign w:val="center"/>
                </w:tcPr>
                <w:p>
                  <w:pPr>
                    <w:autoSpaceDE w:val="0"/>
                    <w:autoSpaceDN w:val="0"/>
                    <w:spacing w:before="123"/>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4</w:t>
                  </w:r>
                </w:p>
              </w:tc>
              <w:tc>
                <w:tcPr>
                  <w:tcW w:w="2820" w:type="dxa"/>
                  <w:tcBorders>
                    <w:tl2br w:val="nil"/>
                    <w:tr2bl w:val="nil"/>
                  </w:tcBorders>
                  <w:vAlign w:val="center"/>
                </w:tcPr>
                <w:p>
                  <w:pPr>
                    <w:autoSpaceDE w:val="0"/>
                    <w:autoSpaceDN w:val="0"/>
                    <w:spacing w:before="122"/>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洗浆机</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2"/>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5</w:t>
                  </w:r>
                </w:p>
              </w:tc>
              <w:tc>
                <w:tcPr>
                  <w:tcW w:w="2820" w:type="dxa"/>
                  <w:tcBorders>
                    <w:tl2br w:val="nil"/>
                    <w:tr2bl w:val="nil"/>
                  </w:tcBorders>
                  <w:vAlign w:val="center"/>
                </w:tcPr>
                <w:p>
                  <w:pPr>
                    <w:autoSpaceDE w:val="0"/>
                    <w:autoSpaceDN w:val="0"/>
                    <w:spacing w:before="123"/>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储存罐</w:t>
                  </w:r>
                </w:p>
              </w:tc>
              <w:tc>
                <w:tcPr>
                  <w:tcW w:w="2821" w:type="dxa"/>
                  <w:tcBorders>
                    <w:tl2br w:val="nil"/>
                    <w:tr2bl w:val="nil"/>
                  </w:tcBorders>
                  <w:vAlign w:val="center"/>
                </w:tcPr>
                <w:p>
                  <w:pPr>
                    <w:autoSpaceDE w:val="0"/>
                    <w:autoSpaceDN w:val="0"/>
                    <w:spacing w:before="123"/>
                    <w:ind w:left="18"/>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80</w:t>
                  </w:r>
                  <w:r>
                    <w:rPr>
                      <w:rFonts w:hint="eastAsia" w:ascii="Times New Roman" w:hAnsi="Times New Roman" w:eastAsia="宋体" w:cs="Times New Roman"/>
                      <w:kern w:val="0"/>
                      <w:szCs w:val="21"/>
                      <w:highlight w:val="none"/>
                      <w:lang w:val="zh-CN" w:bidi="zh-CN"/>
                    </w:rPr>
                    <w:t>×</w:t>
                  </w:r>
                  <w:r>
                    <w:rPr>
                      <w:rFonts w:ascii="Times New Roman" w:hAnsi="Times New Roman" w:eastAsia="宋体" w:cs="Times New Roman"/>
                      <w:kern w:val="0"/>
                      <w:szCs w:val="21"/>
                      <w:highlight w:val="none"/>
                      <w:lang w:val="zh-CN" w:bidi="zh-CN"/>
                    </w:rPr>
                    <w:t>80</w:t>
                  </w:r>
                </w:p>
              </w:tc>
              <w:tc>
                <w:tcPr>
                  <w:tcW w:w="3007" w:type="dxa"/>
                  <w:tcBorders>
                    <w:tl2br w:val="nil"/>
                    <w:tr2bl w:val="nil"/>
                  </w:tcBorders>
                  <w:vAlign w:val="center"/>
                </w:tcPr>
                <w:p>
                  <w:pPr>
                    <w:autoSpaceDE w:val="0"/>
                    <w:autoSpaceDN w:val="0"/>
                    <w:spacing w:before="123"/>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6</w:t>
                  </w:r>
                </w:p>
              </w:tc>
              <w:tc>
                <w:tcPr>
                  <w:tcW w:w="2820" w:type="dxa"/>
                  <w:tcBorders>
                    <w:tl2br w:val="nil"/>
                    <w:tr2bl w:val="nil"/>
                  </w:tcBorders>
                  <w:vAlign w:val="center"/>
                </w:tcPr>
                <w:p>
                  <w:pPr>
                    <w:autoSpaceDE w:val="0"/>
                    <w:autoSpaceDN w:val="0"/>
                    <w:spacing w:before="122"/>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沾浆盒</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2"/>
                    <w:ind w:left="600" w:right="585"/>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7</w:t>
                  </w:r>
                </w:p>
              </w:tc>
              <w:tc>
                <w:tcPr>
                  <w:tcW w:w="2820" w:type="dxa"/>
                  <w:tcBorders>
                    <w:tl2br w:val="nil"/>
                    <w:tr2bl w:val="nil"/>
                  </w:tcBorders>
                  <w:vAlign w:val="center"/>
                </w:tcPr>
                <w:p>
                  <w:pPr>
                    <w:autoSpaceDE w:val="0"/>
                    <w:autoSpaceDN w:val="0"/>
                    <w:spacing w:before="125"/>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抽浆泵</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4</w:t>
                  </w:r>
                  <w:r>
                    <w:rPr>
                      <w:rFonts w:ascii="Times New Roman" w:hAnsi="Times New Roman" w:eastAsia="宋体" w:cs="Times New Roman"/>
                      <w:kern w:val="0"/>
                      <w:szCs w:val="21"/>
                      <w:highlight w:val="none"/>
                      <w:lang w:val="zh-CN" w:bidi="zh-CN"/>
                    </w:rPr>
                    <w:t>200KW·h</w:t>
                  </w:r>
                </w:p>
              </w:tc>
              <w:tc>
                <w:tcPr>
                  <w:tcW w:w="3007" w:type="dxa"/>
                  <w:tcBorders>
                    <w:tl2br w:val="nil"/>
                    <w:tr2bl w:val="nil"/>
                  </w:tcBorders>
                  <w:vAlign w:val="center"/>
                </w:tcPr>
                <w:p>
                  <w:pPr>
                    <w:autoSpaceDE w:val="0"/>
                    <w:autoSpaceDN w:val="0"/>
                    <w:spacing w:before="125"/>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8</w:t>
                  </w:r>
                </w:p>
              </w:tc>
              <w:tc>
                <w:tcPr>
                  <w:tcW w:w="2820" w:type="dxa"/>
                  <w:tcBorders>
                    <w:tl2br w:val="nil"/>
                    <w:tr2bl w:val="nil"/>
                  </w:tcBorders>
                  <w:vAlign w:val="center"/>
                </w:tcPr>
                <w:p>
                  <w:pPr>
                    <w:autoSpaceDE w:val="0"/>
                    <w:autoSpaceDN w:val="0"/>
                    <w:spacing w:before="122"/>
                    <w:ind w:left="528" w:right="509"/>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方钢</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2"/>
                    <w:ind w:left="602" w:right="584"/>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9</w:t>
                  </w:r>
                </w:p>
              </w:tc>
              <w:tc>
                <w:tcPr>
                  <w:tcW w:w="2820" w:type="dxa"/>
                  <w:tcBorders>
                    <w:tl2br w:val="nil"/>
                    <w:tr2bl w:val="nil"/>
                  </w:tcBorders>
                  <w:vAlign w:val="center"/>
                </w:tcPr>
                <w:p>
                  <w:pPr>
                    <w:autoSpaceDE w:val="0"/>
                    <w:autoSpaceDN w:val="0"/>
                    <w:spacing w:before="124"/>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三角架</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4"/>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10</w:t>
                  </w:r>
                </w:p>
              </w:tc>
              <w:tc>
                <w:tcPr>
                  <w:tcW w:w="2820" w:type="dxa"/>
                  <w:tcBorders>
                    <w:tl2br w:val="nil"/>
                    <w:tr2bl w:val="nil"/>
                  </w:tcBorders>
                  <w:vAlign w:val="center"/>
                </w:tcPr>
                <w:p>
                  <w:pPr>
                    <w:autoSpaceDE w:val="0"/>
                    <w:autoSpaceDN w:val="0"/>
                    <w:spacing w:before="124"/>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散热片</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4"/>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11</w:t>
                  </w:r>
                </w:p>
              </w:tc>
              <w:tc>
                <w:tcPr>
                  <w:tcW w:w="2820" w:type="dxa"/>
                  <w:tcBorders>
                    <w:tl2br w:val="nil"/>
                    <w:tr2bl w:val="nil"/>
                  </w:tcBorders>
                  <w:vAlign w:val="center"/>
                </w:tcPr>
                <w:p>
                  <w:pPr>
                    <w:autoSpaceDE w:val="0"/>
                    <w:autoSpaceDN w:val="0"/>
                    <w:spacing w:before="124"/>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批刀</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4"/>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12</w:t>
                  </w:r>
                </w:p>
              </w:tc>
              <w:tc>
                <w:tcPr>
                  <w:tcW w:w="2820" w:type="dxa"/>
                  <w:tcBorders>
                    <w:tl2br w:val="nil"/>
                    <w:tr2bl w:val="nil"/>
                  </w:tcBorders>
                  <w:vAlign w:val="center"/>
                </w:tcPr>
                <w:p>
                  <w:pPr>
                    <w:autoSpaceDE w:val="0"/>
                    <w:autoSpaceDN w:val="0"/>
                    <w:spacing w:before="124"/>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bidi="zh-CN"/>
                    </w:rPr>
                    <w:t>包装机</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en-US" w:bidi="zh-CN"/>
                    </w:rPr>
                    <w:t>功率6.5kw</w:t>
                  </w:r>
                </w:p>
              </w:tc>
              <w:tc>
                <w:tcPr>
                  <w:tcW w:w="3007" w:type="dxa"/>
                  <w:tcBorders>
                    <w:tl2br w:val="nil"/>
                    <w:tr2bl w:val="nil"/>
                  </w:tcBorders>
                  <w:vAlign w:val="center"/>
                </w:tcPr>
                <w:p>
                  <w:pPr>
                    <w:autoSpaceDE w:val="0"/>
                    <w:autoSpaceDN w:val="0"/>
                    <w:spacing w:before="124"/>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13</w:t>
                  </w:r>
                </w:p>
              </w:tc>
              <w:tc>
                <w:tcPr>
                  <w:tcW w:w="2820" w:type="dxa"/>
                  <w:tcBorders>
                    <w:tl2br w:val="nil"/>
                    <w:tr2bl w:val="nil"/>
                  </w:tcBorders>
                  <w:vAlign w:val="center"/>
                </w:tcPr>
                <w:p>
                  <w:pPr>
                    <w:autoSpaceDE w:val="0"/>
                    <w:autoSpaceDN w:val="0"/>
                    <w:spacing w:before="124"/>
                    <w:ind w:left="528" w:right="511"/>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封口打码机</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en-US" w:bidi="zh-CN"/>
                    </w:rPr>
                  </w:pPr>
                  <w:r>
                    <w:rPr>
                      <w:rFonts w:hint="eastAsia" w:ascii="Times New Roman" w:hAnsi="Times New Roman" w:eastAsia="宋体" w:cs="Times New Roman"/>
                      <w:kern w:val="0"/>
                      <w:szCs w:val="21"/>
                      <w:highlight w:val="none"/>
                      <w:lang w:val="en-US" w:bidi="zh-CN"/>
                    </w:rPr>
                    <w:t>SF-B型，功率5.0kw</w:t>
                  </w:r>
                </w:p>
              </w:tc>
              <w:tc>
                <w:tcPr>
                  <w:tcW w:w="3007" w:type="dxa"/>
                  <w:tcBorders>
                    <w:tl2br w:val="nil"/>
                    <w:tr2bl w:val="nil"/>
                  </w:tcBorders>
                  <w:vAlign w:val="center"/>
                </w:tcPr>
                <w:p>
                  <w:pPr>
                    <w:autoSpaceDE w:val="0"/>
                    <w:autoSpaceDN w:val="0"/>
                    <w:spacing w:before="124"/>
                    <w:ind w:left="602" w:right="582"/>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33" w:type="dxa"/>
                  <w:tcBorders>
                    <w:tl2br w:val="nil"/>
                    <w:tr2bl w:val="nil"/>
                  </w:tcBorders>
                  <w:vAlign w:val="center"/>
                </w:tcPr>
                <w:p>
                  <w:pPr>
                    <w:autoSpaceDE w:val="0"/>
                    <w:autoSpaceDN w:val="0"/>
                    <w:adjustRightIn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14</w:t>
                  </w:r>
                </w:p>
              </w:tc>
              <w:tc>
                <w:tcPr>
                  <w:tcW w:w="2820" w:type="dxa"/>
                  <w:tcBorders>
                    <w:tl2br w:val="nil"/>
                    <w:tr2bl w:val="nil"/>
                  </w:tcBorders>
                  <w:vAlign w:val="center"/>
                </w:tcPr>
                <w:p>
                  <w:pPr>
                    <w:autoSpaceDE w:val="0"/>
                    <w:autoSpaceDN w:val="0"/>
                    <w:spacing w:before="123"/>
                    <w:ind w:left="528" w:right="509"/>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检验设备</w:t>
                  </w:r>
                </w:p>
              </w:tc>
              <w:tc>
                <w:tcPr>
                  <w:tcW w:w="2821" w:type="dxa"/>
                  <w:tcBorders>
                    <w:tl2br w:val="nil"/>
                    <w:tr2bl w:val="nil"/>
                  </w:tcBorders>
                  <w:vAlign w:val="center"/>
                </w:tcPr>
                <w:p>
                  <w:pPr>
                    <w:autoSpaceDE w:val="0"/>
                    <w:autoSpaceDN w:val="0"/>
                    <w:jc w:val="center"/>
                    <w:rPr>
                      <w:rFonts w:ascii="Times New Roman" w:hAnsi="Times New Roman" w:eastAsia="宋体" w:cs="Times New Roman"/>
                      <w:kern w:val="0"/>
                      <w:szCs w:val="21"/>
                      <w:highlight w:val="none"/>
                      <w:lang w:val="zh-CN" w:bidi="zh-CN"/>
                    </w:rPr>
                  </w:pPr>
                  <w:r>
                    <w:rPr>
                      <w:rFonts w:hint="eastAsia" w:ascii="Times New Roman" w:hAnsi="Times New Roman" w:eastAsia="宋体" w:cs="Times New Roman"/>
                      <w:kern w:val="0"/>
                      <w:szCs w:val="21"/>
                      <w:highlight w:val="none"/>
                      <w:lang w:val="zh-CN" w:bidi="zh-CN"/>
                    </w:rPr>
                    <w:t>/</w:t>
                  </w:r>
                </w:p>
              </w:tc>
              <w:tc>
                <w:tcPr>
                  <w:tcW w:w="3007" w:type="dxa"/>
                  <w:tcBorders>
                    <w:tl2br w:val="nil"/>
                    <w:tr2bl w:val="nil"/>
                  </w:tcBorders>
                  <w:vAlign w:val="center"/>
                </w:tcPr>
                <w:p>
                  <w:pPr>
                    <w:autoSpaceDE w:val="0"/>
                    <w:autoSpaceDN w:val="0"/>
                    <w:spacing w:before="123"/>
                    <w:ind w:left="18"/>
                    <w:jc w:val="center"/>
                    <w:rPr>
                      <w:rFonts w:ascii="Times New Roman" w:hAnsi="Times New Roman" w:eastAsia="宋体" w:cs="Times New Roman"/>
                      <w:kern w:val="0"/>
                      <w:szCs w:val="21"/>
                      <w:highlight w:val="none"/>
                      <w:lang w:val="zh-CN" w:bidi="zh-CN"/>
                    </w:rPr>
                  </w:pPr>
                  <w:r>
                    <w:rPr>
                      <w:rFonts w:ascii="Times New Roman" w:hAnsi="Times New Roman" w:eastAsia="宋体" w:cs="Times New Roman"/>
                      <w:kern w:val="0"/>
                      <w:szCs w:val="21"/>
                      <w:highlight w:val="none"/>
                      <w:lang w:val="zh-CN" w:bidi="zh-CN"/>
                    </w:rPr>
                    <w:t>1</w:t>
                  </w:r>
                </w:p>
              </w:tc>
            </w:tr>
          </w:tbl>
          <w:p>
            <w:pPr>
              <w:widowControl/>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（8）原辅材料</w:t>
            </w:r>
          </w:p>
          <w:p>
            <w:pPr>
              <w:adjustRightInd w:val="0"/>
              <w:snapToGrid w:val="0"/>
              <w:spacing w:line="480" w:lineRule="exact"/>
              <w:jc w:val="center"/>
              <w:rPr>
                <w:rFonts w:ascii="Times New Roman" w:hAnsi="Times New Roman" w:eastAsia="宋体" w:cs="Times New Roman"/>
                <w:bCs/>
                <w:color w:val="FF0000"/>
              </w:rPr>
            </w:pPr>
            <w:r>
              <w:rPr>
                <w:rFonts w:ascii="Times New Roman" w:hAnsi="Times New Roman" w:eastAsia="宋体" w:cs="Times New Roman"/>
                <w:bCs/>
              </w:rPr>
              <w:t>表7  原辅材料一览表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1071"/>
              <w:gridCol w:w="970"/>
              <w:gridCol w:w="1134"/>
              <w:gridCol w:w="2550"/>
              <w:gridCol w:w="2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13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年使用量</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产地</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黄豆</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13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7500</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海伦市</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由海伦市海北镇佳鑫农副产品经销处提供</w:t>
                  </w:r>
                  <w:r>
                    <w:rPr>
                      <w:rFonts w:hint="eastAsia" w:ascii="Times New Roman" w:hAnsi="Times New Roman" w:eastAsia="宋体" w:cs="Times New Roman"/>
                      <w:szCs w:val="21"/>
                    </w:rPr>
                    <w:t>。</w:t>
                  </w:r>
                  <w:r>
                    <w:rPr>
                      <w:rFonts w:ascii="Times New Roman" w:hAnsi="Times New Roman" w:eastAsia="宋体" w:cs="Times New Roman"/>
                      <w:szCs w:val="21"/>
                    </w:rPr>
                    <w:t>豆浆专用，非转基因黄豆，50kg/袋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自来水</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13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49608</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柳林县自来水厂</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3</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包装袋</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t/a</w:t>
                  </w:r>
                </w:p>
              </w:tc>
              <w:tc>
                <w:tcPr>
                  <w:tcW w:w="113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0.13</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107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蒸汽</w:t>
                  </w:r>
                </w:p>
              </w:tc>
              <w:tc>
                <w:tcPr>
                  <w:tcW w:w="9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 w:val="24"/>
                      <w:szCs w:val="24"/>
                    </w:rPr>
                    <w:t>t/a</w:t>
                  </w:r>
                </w:p>
              </w:tc>
              <w:tc>
                <w:tcPr>
                  <w:tcW w:w="113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 w:val="24"/>
                      <w:szCs w:val="24"/>
                    </w:rPr>
                    <w:t>15000</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宏光电厂</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72" w:type="dxa"/>
                  <w:tcBorders>
                    <w:top w:val="single" w:color="auto" w:sz="4" w:space="0"/>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1071" w:type="dxa"/>
                  <w:tcBorders>
                    <w:top w:val="single" w:color="auto" w:sz="4" w:space="0"/>
                    <w:left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电</w:t>
                  </w:r>
                </w:p>
              </w:tc>
              <w:tc>
                <w:tcPr>
                  <w:tcW w:w="970"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K</w:t>
                  </w:r>
                  <w:r>
                    <w:rPr>
                      <w:rFonts w:ascii="Times New Roman" w:hAnsi="Times New Roman" w:eastAsia="宋体" w:cs="Times New Roman"/>
                      <w:szCs w:val="21"/>
                    </w:rPr>
                    <w:t>W</w:t>
                  </w:r>
                </w:p>
              </w:tc>
              <w:tc>
                <w:tcPr>
                  <w:tcW w:w="1134" w:type="dxa"/>
                  <w:tcBorders>
                    <w:top w:val="single" w:color="auto" w:sz="4" w:space="0"/>
                    <w:left w:val="nil"/>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000</w:t>
                  </w:r>
                </w:p>
              </w:tc>
              <w:tc>
                <w:tcPr>
                  <w:tcW w:w="255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hint="eastAsia" w:ascii="Times New Roman" w:hAnsi="Times New Roman" w:eastAsia="宋体" w:cs="Times New Roman"/>
                      <w:szCs w:val="21"/>
                    </w:rPr>
                  </w:pPr>
                  <w:r>
                    <w:rPr>
                      <w:rFonts w:ascii="Times New Roman" w:hAnsi="Times New Roman" w:eastAsia="宋体" w:cs="Times New Roman"/>
                      <w:szCs w:val="21"/>
                    </w:rPr>
                    <w:t>柳林县</w:t>
                  </w:r>
                  <w:r>
                    <w:rPr>
                      <w:rFonts w:hint="eastAsia" w:ascii="Times New Roman" w:hAnsi="Times New Roman" w:eastAsia="宋体" w:cs="Times New Roman"/>
                      <w:szCs w:val="21"/>
                    </w:rPr>
                    <w:t>穆村</w:t>
                  </w:r>
                  <w:r>
                    <w:rPr>
                      <w:rFonts w:ascii="Times New Roman" w:hAnsi="Times New Roman" w:eastAsia="宋体" w:cs="Times New Roman"/>
                      <w:szCs w:val="21"/>
                    </w:rPr>
                    <w:t>镇</w:t>
                  </w:r>
                  <w:r>
                    <w:rPr>
                      <w:rFonts w:hint="eastAsia" w:ascii="Times New Roman" w:hAnsi="Times New Roman" w:eastAsia="宋体" w:cs="Times New Roman"/>
                      <w:szCs w:val="21"/>
                    </w:rPr>
                    <w:t>安沟</w:t>
                  </w:r>
                  <w:r>
                    <w:rPr>
                      <w:rFonts w:ascii="Times New Roman" w:hAnsi="Times New Roman" w:eastAsia="宋体" w:cs="Times New Roman"/>
                      <w:szCs w:val="21"/>
                    </w:rPr>
                    <w:t>供电站</w:t>
                  </w:r>
                </w:p>
              </w:tc>
              <w:tc>
                <w:tcPr>
                  <w:tcW w:w="278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bl>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1"/>
                <w14:textFill>
                  <w14:solidFill>
                    <w14:schemeClr w14:val="tx1"/>
                  </w14:solidFill>
                </w14:textFill>
              </w:rPr>
            </w:pPr>
            <w:r>
              <w:rPr>
                <w:rFonts w:ascii="Times New Roman" w:hAnsi="Times New Roman" w:eastAsia="宋体" w:cs="Times New Roman"/>
                <w:color w:val="000000" w:themeColor="text1"/>
                <w:sz w:val="24"/>
                <w:szCs w:val="21"/>
                <w14:textFill>
                  <w14:solidFill>
                    <w14:schemeClr w14:val="tx1"/>
                  </w14:solidFill>
                </w14:textFill>
              </w:rPr>
              <w:t>物料平衡</w:t>
            </w:r>
            <w:r>
              <w:rPr>
                <w:rFonts w:hint="eastAsia" w:ascii="Times New Roman" w:hAnsi="Times New Roman" w:eastAsia="宋体" w:cs="Times New Roman"/>
                <w:color w:val="000000" w:themeColor="text1"/>
                <w:sz w:val="24"/>
                <w:szCs w:val="21"/>
                <w14:textFill>
                  <w14:solidFill>
                    <w14:schemeClr w14:val="tx1"/>
                  </w14:solidFill>
                </w14:textFill>
              </w:rPr>
              <w:t>：</w:t>
            </w:r>
          </w:p>
          <w:p>
            <w:pPr>
              <w:widowControl/>
              <w:adjustRightInd w:val="0"/>
              <w:snapToGrid w:val="0"/>
              <w:spacing w:line="240" w:lineRule="atLeast"/>
              <w:ind w:firstLine="420" w:firstLineChars="200"/>
              <w:jc w:val="center"/>
              <w:rPr>
                <w:rFonts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表</w:t>
            </w:r>
            <w:r>
              <w:rPr>
                <w:rFonts w:ascii="Times New Roman" w:hAnsi="Times New Roman" w:eastAsia="宋体" w:cs="Times New Roman"/>
                <w:color w:val="000000" w:themeColor="text1"/>
                <w:szCs w:val="21"/>
                <w14:textFill>
                  <w14:solidFill>
                    <w14:schemeClr w14:val="tx1"/>
                  </w14:solidFill>
                </w14:textFill>
              </w:rPr>
              <w:t>8  本项目物料平衡一览表</w:t>
            </w:r>
          </w:p>
          <w:tbl>
            <w:tblPr>
              <w:tblStyle w:val="22"/>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7"/>
              <w:gridCol w:w="1847"/>
              <w:gridCol w:w="1224"/>
              <w:gridCol w:w="3058"/>
              <w:gridCol w:w="1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664" w:type="dxa"/>
                  <w:gridSpan w:val="2"/>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投入</w:t>
                  </w:r>
                </w:p>
              </w:tc>
              <w:tc>
                <w:tcPr>
                  <w:tcW w:w="5917" w:type="dxa"/>
                  <w:gridSpan w:val="3"/>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trPr>
              <w:tc>
                <w:tcPr>
                  <w:tcW w:w="181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物料名称</w:t>
                  </w:r>
                </w:p>
              </w:tc>
              <w:tc>
                <w:tcPr>
                  <w:tcW w:w="184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物料量（t/a）</w:t>
                  </w:r>
                </w:p>
              </w:tc>
              <w:tc>
                <w:tcPr>
                  <w:tcW w:w="4282" w:type="dxa"/>
                  <w:gridSpan w:val="2"/>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物料名称</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物料量（t/a）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黄豆</w:t>
                  </w:r>
                </w:p>
              </w:tc>
              <w:tc>
                <w:tcPr>
                  <w:tcW w:w="1847"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kern w:val="0"/>
                      <w:sz w:val="20"/>
                      <w:szCs w:val="21"/>
                    </w:rPr>
                    <w:t>7500</w:t>
                  </w:r>
                </w:p>
              </w:tc>
              <w:tc>
                <w:tcPr>
                  <w:tcW w:w="1224" w:type="dxa"/>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产品</w:t>
                  </w: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腐竹</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restart"/>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固废</w:t>
                  </w: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豆渣</w:t>
                  </w:r>
                </w:p>
              </w:tc>
              <w:tc>
                <w:tcPr>
                  <w:tcW w:w="1635" w:type="dxa"/>
                  <w:vAlign w:val="center"/>
                </w:tcPr>
                <w:p>
                  <w:pPr>
                    <w:widowControl/>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2467.5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污泥</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滤渣</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847"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1224" w:type="dxa"/>
                  <w:vMerge w:val="continue"/>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p>
              </w:tc>
              <w:tc>
                <w:tcPr>
                  <w:tcW w:w="3058"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不合格</w:t>
                  </w:r>
                  <w:r>
                    <w:rPr>
                      <w:rFonts w:ascii="Times New Roman" w:hAnsi="Times New Roman" w:eastAsia="宋体" w:cs="Times New Roman"/>
                      <w:color w:val="000000" w:themeColor="text1"/>
                      <w:kern w:val="0"/>
                      <w:sz w:val="20"/>
                      <w:szCs w:val="21"/>
                      <w14:textFill>
                        <w14:solidFill>
                          <w14:schemeClr w14:val="tx1"/>
                        </w14:solidFill>
                      </w14:textFill>
                    </w:rPr>
                    <w:t>品</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17"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hint="eastAsia" w:ascii="Times New Roman" w:hAnsi="Times New Roman" w:eastAsia="宋体" w:cs="Times New Roman"/>
                      <w:color w:val="000000" w:themeColor="text1"/>
                      <w:kern w:val="0"/>
                      <w:sz w:val="20"/>
                      <w:szCs w:val="21"/>
                      <w14:textFill>
                        <w14:solidFill>
                          <w14:schemeClr w14:val="tx1"/>
                        </w14:solidFill>
                      </w14:textFill>
                    </w:rPr>
                    <w:t>总计</w:t>
                  </w:r>
                </w:p>
              </w:tc>
              <w:tc>
                <w:tcPr>
                  <w:tcW w:w="1847" w:type="dxa"/>
                  <w:vAlign w:val="center"/>
                </w:tcPr>
                <w:p>
                  <w:pPr>
                    <w:widowControl/>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7500</w:t>
                  </w:r>
                </w:p>
              </w:tc>
              <w:tc>
                <w:tcPr>
                  <w:tcW w:w="4282" w:type="dxa"/>
                  <w:gridSpan w:val="2"/>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themeColor="text1"/>
                      <w:kern w:val="0"/>
                      <w:sz w:val="20"/>
                      <w:szCs w:val="21"/>
                      <w14:textFill>
                        <w14:solidFill>
                          <w14:schemeClr w14:val="tx1"/>
                        </w14:solidFill>
                      </w14:textFill>
                    </w:rPr>
                    <w:t>总计</w:t>
                  </w:r>
                </w:p>
              </w:tc>
              <w:tc>
                <w:tcPr>
                  <w:tcW w:w="1635" w:type="dxa"/>
                  <w:vAlign w:val="center"/>
                </w:tcPr>
                <w:p>
                  <w:pPr>
                    <w:widowControl/>
                    <w:adjustRightInd w:val="0"/>
                    <w:spacing w:line="240" w:lineRule="atLeast"/>
                    <w:contextualSpacing/>
                    <w:jc w:val="center"/>
                    <w:rPr>
                      <w:rFonts w:ascii="Times New Roman" w:hAnsi="Times New Roman" w:eastAsia="宋体" w:cs="Times New Roman"/>
                      <w:color w:val="000000" w:themeColor="text1"/>
                      <w:kern w:val="0"/>
                      <w:sz w:val="20"/>
                      <w:szCs w:val="21"/>
                      <w14:textFill>
                        <w14:solidFill>
                          <w14:schemeClr w14:val="tx1"/>
                        </w14:solidFill>
                      </w14:textFill>
                    </w:rPr>
                  </w:pPr>
                  <w:r>
                    <w:rPr>
                      <w:rFonts w:ascii="Times New Roman" w:hAnsi="Times New Roman" w:eastAsia="宋体" w:cs="Times New Roman"/>
                      <w:color w:val="000000"/>
                      <w:kern w:val="0"/>
                      <w:sz w:val="20"/>
                      <w:szCs w:val="21"/>
                    </w:rPr>
                    <w:t>7500</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（9）水平衡分析</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1）给水水源</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本项目水源由柳林县自来水厂</w:t>
            </w:r>
            <w:r>
              <w:rPr>
                <w:rFonts w:hint="eastAsia" w:ascii="Times New Roman" w:hAnsi="Times New Roman" w:eastAsia="宋体" w:cs="Times New Roman"/>
                <w:sz w:val="24"/>
                <w:szCs w:val="24"/>
                <w:lang w:val="en-US" w:eastAsia="zh-CN"/>
              </w:rPr>
              <w:t>通过供水管网提供</w:t>
            </w:r>
            <w:r>
              <w:rPr>
                <w:rFonts w:ascii="Times New Roman" w:hAnsi="Times New Roman" w:eastAsia="宋体" w:cs="Times New Roman"/>
                <w:sz w:val="24"/>
                <w:szCs w:val="24"/>
              </w:rPr>
              <w:t>，水质水量均可满足本项目用水需求。</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2）用水水量</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①</w:t>
            </w:r>
            <w:r>
              <w:rPr>
                <w:rFonts w:ascii="Times New Roman" w:hAnsi="Times New Roman" w:eastAsia="宋体" w:cs="Times New Roman"/>
                <w:sz w:val="24"/>
              </w:rPr>
              <w:t>生产用水：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A.清洗用水：根据建设单位提供的资料，清洗1t大豆需要消耗1.5m³水，本项目大豆用量为7500t，则大豆浸泡用水量为11250m³/a（37.5m³/d）。</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B.浸泡用水：根据建设单位提供的资料，浸泡1t大豆需要消耗2m³水，本项目大豆用量为7500t，则大豆浸泡用水量为15000m³/a（50m³/d）。本项目蒸汽冷凝水年产生量13500m³/a（15m³/d），冷凝水经蒸汽管网回到电厂蒸汽锅炉回用。</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C.磨浆用水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浸泡过的大豆在磨浆过程中需进行二次研磨，二次研磨需添加干豆质量2倍的清水，本项目大豆用量为7500t，则磨浆用水量为15000m³/a（50m³/d）。</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D.设备清洗用水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本项目需要清洗的设备有磨浆机、煮浆罐、双层加热锅，各设备的清洗用水情况详见下表。</w:t>
            </w:r>
          </w:p>
          <w:p>
            <w:pPr>
              <w:spacing w:line="520" w:lineRule="exact"/>
              <w:ind w:left="791"/>
              <w:jc w:val="center"/>
              <w:rPr>
                <w:rFonts w:ascii="Times New Roman" w:hAnsi="Times New Roman" w:eastAsia="宋体" w:cs="Times New Roman"/>
                <w:snapToGrid w:val="0"/>
                <w:szCs w:val="24"/>
              </w:rPr>
            </w:pPr>
            <w:r>
              <w:rPr>
                <w:rFonts w:ascii="Times New Roman" w:hAnsi="Times New Roman" w:eastAsia="宋体" w:cs="Times New Roman"/>
                <w:snapToGrid w:val="0"/>
                <w:szCs w:val="24"/>
              </w:rPr>
              <w:t>表9  设备清洗用水量一览表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382"/>
              <w:gridCol w:w="1098"/>
              <w:gridCol w:w="1608"/>
              <w:gridCol w:w="1244"/>
              <w:gridCol w:w="2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1"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设备名称</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清洗方式</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清洗次数</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设备冲洗用水量（m</w:t>
                  </w:r>
                  <w:r>
                    <w:rPr>
                      <w:rFonts w:ascii="Times New Roman" w:hAnsi="Times New Roman" w:eastAsia="宋体" w:cs="Times New Roman"/>
                      <w:color w:val="000000"/>
                      <w:szCs w:val="28"/>
                      <w:vertAlign w:val="superscript"/>
                    </w:rPr>
                    <w:t>3</w:t>
                  </w:r>
                  <w:r>
                    <w:rPr>
                      <w:rFonts w:ascii="Times New Roman" w:hAnsi="Times New Roman" w:eastAsia="宋体" w:cs="Times New Roman"/>
                      <w:color w:val="000000"/>
                      <w:szCs w:val="28"/>
                    </w:rPr>
                    <w:t>/台）</w:t>
                  </w:r>
                </w:p>
              </w:tc>
              <w:tc>
                <w:tcPr>
                  <w:tcW w:w="1244"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设备数量</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用水量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1"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磨浆机</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0.2</w:t>
                  </w:r>
                </w:p>
              </w:tc>
              <w:tc>
                <w:tcPr>
                  <w:tcW w:w="1244"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17台</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3.4m³/d(1020m³/a)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1" w:type="dxa"/>
                  <w:vAlign w:val="center"/>
                </w:tcPr>
                <w:p>
                  <w:pPr>
                    <w:jc w:val="center"/>
                    <w:rPr>
                      <w:rFonts w:ascii="Times New Roman" w:hAnsi="Times New Roman" w:eastAsia="宋体" w:cs="Times New Roman"/>
                      <w:color w:val="000000"/>
                      <w:szCs w:val="28"/>
                    </w:rPr>
                  </w:pPr>
                  <w:r>
                    <w:rPr>
                      <w:rFonts w:hint="eastAsia" w:ascii="Times New Roman" w:hAnsi="Times New Roman" w:eastAsia="宋体" w:cs="Times New Roman"/>
                      <w:color w:val="000000"/>
                      <w:szCs w:val="28"/>
                    </w:rPr>
                    <w:t>腐竹锅</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0.1</w:t>
                  </w:r>
                </w:p>
              </w:tc>
              <w:tc>
                <w:tcPr>
                  <w:tcW w:w="1244"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70台</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7.0m³/d(2100m³/a)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1"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沾浆盒</w:t>
                  </w:r>
                </w:p>
              </w:tc>
              <w:tc>
                <w:tcPr>
                  <w:tcW w:w="1382"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洗浆机</w:t>
                  </w:r>
                </w:p>
              </w:tc>
              <w:tc>
                <w:tcPr>
                  <w:tcW w:w="109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1次/天</w:t>
                  </w:r>
                </w:p>
              </w:tc>
              <w:tc>
                <w:tcPr>
                  <w:tcW w:w="160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0.01</w:t>
                  </w:r>
                </w:p>
              </w:tc>
              <w:tc>
                <w:tcPr>
                  <w:tcW w:w="1244"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45台</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0.45m³/d(135m³/a)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13" w:type="dxa"/>
                  <w:gridSpan w:val="5"/>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合计</w:t>
                  </w:r>
                </w:p>
              </w:tc>
              <w:tc>
                <w:tcPr>
                  <w:tcW w:w="2568" w:type="dxa"/>
                  <w:vAlign w:val="center"/>
                </w:tcPr>
                <w:p>
                  <w:pPr>
                    <w:jc w:val="center"/>
                    <w:rPr>
                      <w:rFonts w:ascii="Times New Roman" w:hAnsi="Times New Roman" w:eastAsia="宋体" w:cs="Times New Roman"/>
                      <w:color w:val="000000"/>
                      <w:szCs w:val="28"/>
                    </w:rPr>
                  </w:pPr>
                  <w:r>
                    <w:rPr>
                      <w:rFonts w:ascii="Times New Roman" w:hAnsi="Times New Roman" w:eastAsia="宋体" w:cs="Times New Roman"/>
                      <w:color w:val="000000"/>
                      <w:szCs w:val="28"/>
                    </w:rPr>
                    <w:t>10.85m³/d(3255m³/a)</w:t>
                  </w:r>
                </w:p>
              </w:tc>
            </w:tr>
          </w:tbl>
          <w:p>
            <w:pPr>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E.</w:t>
            </w:r>
            <w:r>
              <w:rPr>
                <w:rFonts w:ascii="Times New Roman" w:hAnsi="Times New Roman" w:eastAsia="宋体" w:cs="Times New Roman"/>
                <w:sz w:val="24"/>
                <w:szCs w:val="24"/>
              </w:rPr>
              <w:t>车间地面冲洗用水</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sz w:val="24"/>
                <w:szCs w:val="24"/>
              </w:rPr>
              <w:t>本项目生产车间地面需要定期冲洗，采用地面冲洗方式进行清洗，需清洗车间总面积约3510m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，每天清洗一次，清洗用水量按1L/m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计，则地面冲洗用水量3.51m³/d（1053m³/a）。</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②</w:t>
            </w:r>
            <w:r>
              <w:rPr>
                <w:rFonts w:ascii="Times New Roman" w:hAnsi="Times New Roman" w:eastAsia="宋体" w:cs="Times New Roman"/>
                <w:sz w:val="24"/>
              </w:rPr>
              <w:t>生活用水：本项目职工定员为150人，厂区提供三餐/住宿/洗浴，参照</w:t>
            </w:r>
            <w:bookmarkStart w:id="0" w:name="OLE_LINK1"/>
            <w:r>
              <w:rPr>
                <w:rFonts w:ascii="Times New Roman" w:hAnsi="Times New Roman" w:eastAsia="宋体" w:cs="Times New Roman"/>
                <w:sz w:val="24"/>
              </w:rPr>
              <w:t>《山西省用水定额 第4部分：居民生活用水定额》</w:t>
            </w:r>
            <w:bookmarkEnd w:id="0"/>
            <w:r>
              <w:rPr>
                <w:rFonts w:ascii="Times New Roman" w:hAnsi="Times New Roman" w:eastAsia="宋体" w:cs="Times New Roman"/>
                <w:sz w:val="24"/>
              </w:rPr>
              <w:t>（DB14/T1049.4-2021），生活用水定额按90L/（人·天）计，生活用水量为13.5m</w:t>
            </w:r>
            <w:r>
              <w:rPr>
                <w:rFonts w:ascii="Times New Roman" w:hAnsi="Times New Roman" w:eastAsia="宋体" w:cs="Times New Roman"/>
                <w:sz w:val="24"/>
                <w:vertAlign w:val="superscript"/>
              </w:rPr>
              <w:t>3</w:t>
            </w:r>
            <w:r>
              <w:rPr>
                <w:rFonts w:ascii="Times New Roman" w:hAnsi="Times New Roman" w:eastAsia="宋体" w:cs="Times New Roman"/>
                <w:sz w:val="24"/>
              </w:rPr>
              <w:t>/d，4050m</w:t>
            </w:r>
            <w:r>
              <w:rPr>
                <w:rFonts w:ascii="Times New Roman" w:hAnsi="Times New Roman" w:eastAsia="宋体" w:cs="Times New Roman"/>
                <w:sz w:val="24"/>
                <w:vertAlign w:val="superscript"/>
              </w:rPr>
              <w:t>3</w:t>
            </w:r>
            <w:r>
              <w:rPr>
                <w:rFonts w:ascii="Times New Roman" w:hAnsi="Times New Roman" w:eastAsia="宋体" w:cs="Times New Roman"/>
                <w:sz w:val="24"/>
              </w:rPr>
              <w:t>/a。</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综上所述，本项目总用水量为165.36m³/d（49608m³/a）。</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3）排水系统</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①</w:t>
            </w:r>
            <w:r>
              <w:rPr>
                <w:rFonts w:ascii="Times New Roman" w:hAnsi="Times New Roman" w:eastAsia="宋体" w:cs="Times New Roman"/>
                <w:sz w:val="24"/>
              </w:rPr>
              <w:t>生活污水：本项目生活用水量为13.5m³/d（4050m³/a），污水产生系数按0.8计，则生活污水产生量为10.8m³/d（3240m³/a）。生活污水（其中食堂废水经隔油器处理）通过管道排入厂区废水处理站进行处理。</w:t>
            </w:r>
          </w:p>
          <w:p>
            <w:pPr>
              <w:spacing w:line="480" w:lineRule="exact"/>
              <w:ind w:firstLine="480" w:firstLineChars="200"/>
              <w:rPr>
                <w:rFonts w:ascii="Times New Roman" w:hAnsi="Times New Roman" w:eastAsia="宋体" w:cs="Times New Roman"/>
                <w:sz w:val="24"/>
              </w:rPr>
            </w:pPr>
            <w:r>
              <w:rPr>
                <w:rFonts w:hint="eastAsia" w:ascii="宋体" w:hAnsi="宋体" w:eastAsia="宋体" w:cs="宋体"/>
                <w:sz w:val="24"/>
              </w:rPr>
              <w:t>②</w:t>
            </w:r>
            <w:r>
              <w:rPr>
                <w:rFonts w:ascii="Times New Roman" w:hAnsi="Times New Roman" w:eastAsia="宋体" w:cs="Times New Roman"/>
                <w:sz w:val="24"/>
              </w:rPr>
              <w:t>生产废水</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A.清洗废水：项目清洗用水量为37.5m³/d（11250m³/a），污水产生系数按0.9计，则清洗废水产生量为33.75m³/d（10125m³/a）。</w:t>
            </w:r>
          </w:p>
          <w:p>
            <w:pPr>
              <w:spacing w:line="48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B.浸泡废水：项目浸泡用水量约为干豆重量的2倍，项目浸泡用水量为50m³/d（15000m³/a），黄豆吸水率约为干黄豆重量的1.5倍（含大豆自身的水分），黄豆吸水量为37.5m³/d（11250m³/a），则产生的浸泡废水为12.5m³/d（3750m³/a）。</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sz w:val="24"/>
              </w:rPr>
              <w:t>C.设备清洗废水：设备清洗用水量10.85m³/d(3255m³/a)，废水排放系数取0.9，则废水产生量为9.77m³/d(2931m³/a)，该部分废水中主要污染物为COD、SS、NH</w:t>
            </w:r>
            <w:r>
              <w:rPr>
                <w:rFonts w:ascii="Times New Roman" w:hAnsi="Times New Roman" w:eastAsia="宋体" w:cs="Times New Roman"/>
                <w:sz w:val="24"/>
                <w:vertAlign w:val="subscript"/>
              </w:rPr>
              <w:t>3</w:t>
            </w:r>
            <w:r>
              <w:rPr>
                <w:rFonts w:ascii="Times New Roman" w:hAnsi="Times New Roman" w:eastAsia="宋体" w:cs="Times New Roman"/>
                <w:sz w:val="24"/>
              </w:rPr>
              <w:t>-N。</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D.地面冲洗废水：地面冲洗用水量为3.51m³/d(1053m³/a)，废水排放系数取0.9，则废水产生量为3.16m³/d(948m³/a)，废水中主要污染物为COD、SS、氨氮。</w:t>
            </w:r>
          </w:p>
          <w:p>
            <w:pPr>
              <w:spacing w:line="48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以上生产废水经车间内废水管道进入厂区废水处理站预处理，处理后</w:t>
            </w:r>
            <w:r>
              <w:rPr>
                <w:rFonts w:hint="eastAsia" w:ascii="Times New Roman" w:hAnsi="Times New Roman" w:eastAsia="宋体" w:cs="Times New Roman"/>
                <w:color w:val="000000"/>
                <w:sz w:val="24"/>
              </w:rPr>
              <w:t>排入市政污</w:t>
            </w:r>
            <w:r>
              <w:rPr>
                <w:rFonts w:ascii="Times New Roman" w:hAnsi="Times New Roman" w:eastAsia="宋体" w:cs="Times New Roman"/>
                <w:color w:val="000000"/>
                <w:sz w:val="24"/>
              </w:rPr>
              <w:t>水管网</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污水管网自建</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最终至柳林县污水处理厂。</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4）水平衡分析</w:t>
            </w:r>
          </w:p>
          <w:p>
            <w:pPr>
              <w:spacing w:line="480" w:lineRule="exact"/>
              <w:jc w:val="center"/>
              <w:rPr>
                <w:rFonts w:ascii="Times New Roman" w:hAnsi="Times New Roman" w:eastAsia="宋体" w:cs="Times New Roman"/>
                <w:bCs/>
                <w:szCs w:val="21"/>
              </w:rPr>
            </w:pPr>
            <w:r>
              <w:rPr>
                <w:rFonts w:ascii="Times New Roman" w:hAnsi="Times New Roman" w:eastAsia="宋体" w:cs="Times New Roman"/>
                <w:bCs/>
                <w:szCs w:val="21"/>
              </w:rPr>
              <w:t>表10  用排水情况一览表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418"/>
              <w:gridCol w:w="1701"/>
              <w:gridCol w:w="1701"/>
              <w:gridCol w:w="1701"/>
              <w:gridCol w:w="1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用水项目</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用水指标</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用水情况</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用水量（m³/d）</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废水量（m³/d）</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排水量（m³/d）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清洗用水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大豆：水1:1.5</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大豆用量7500t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37.5</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33.75</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9"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浸泡用水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大豆：水</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1:2</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大豆用量7500t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50</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12.5</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磨浆用水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大豆：水</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1:2</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大豆用量7500t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50</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设备用水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10.85</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9.77</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地面冲洗用水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1L/m</w:t>
                  </w:r>
                  <w:r>
                    <w:rPr>
                      <w:rFonts w:ascii="Times New Roman" w:hAnsi="Times New Roman" w:eastAsia="宋体" w:cs="Times New Roman"/>
                      <w:szCs w:val="21"/>
                      <w:vertAlign w:val="superscript"/>
                    </w:rPr>
                    <w:t>2</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面积约3510m</w:t>
                  </w:r>
                  <w:r>
                    <w:rPr>
                      <w:rFonts w:ascii="Times New Roman" w:hAnsi="Times New Roman" w:eastAsia="宋体" w:cs="Times New Roman"/>
                      <w:szCs w:val="21"/>
                      <w:vertAlign w:val="superscript"/>
                    </w:rPr>
                    <w:t>2</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3.51</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3.16</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生活用水</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90L/（人·天）</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150人，300天</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13.5</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10.8</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合计</w:t>
                  </w:r>
                </w:p>
              </w:tc>
              <w:tc>
                <w:tcPr>
                  <w:tcW w:w="141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165.36</w:t>
                  </w:r>
                </w:p>
              </w:tc>
              <w:tc>
                <w:tcPr>
                  <w:tcW w:w="170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69.98</w:t>
                  </w:r>
                </w:p>
              </w:tc>
              <w:tc>
                <w:tcPr>
                  <w:tcW w:w="193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0</w:t>
                  </w:r>
                </w:p>
              </w:tc>
            </w:tr>
          </w:tbl>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pStyle w:val="2"/>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r>
              <w:rPr>
                <w:rFonts w:ascii="Times New Roman" w:hAnsi="Times New Roman" w:cs="Times New Roman"/>
              </w:rPr>
              <w:pict>
                <v:shape id="_x0000_s1064" o:spid="_x0000_s1064" o:spt="75" type="#_x0000_t75" style="position:absolute;left:0pt;margin-left:13.95pt;margin-top:10.8pt;height:341pt;width:453.05pt;z-index:251701248;mso-width-relative:page;mso-height-relative:page;" o:ole="t" filled="f" o:preferrelative="t" stroked="f" coordsize="21600,21600">
                  <v:path/>
                  <v:fill on="f" focussize="0,0"/>
                  <v:stroke on="f"/>
                  <v:imagedata r:id="rId12" o:title=""/>
                  <o:lock v:ext="edit" aspectratio="t"/>
                </v:shape>
                <o:OLEObject Type="Embed" ProgID="Visio.Drawing.15" ShapeID="_x0000_s1064" DrawAspect="Content" ObjectID="_1468075725" r:id="rId11">
                  <o:LockedField>false</o:LockedField>
                </o:OLEObject>
              </w:pict>
            </w: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r>
              <w:rPr>
                <w:sz w:val="24"/>
              </w:rPr>
              <mc:AlternateContent>
                <mc:Choice Requires="wps">
                  <w:drawing>
                    <wp:anchor distT="0" distB="0" distL="114300" distR="114300" simplePos="0" relativeHeight="252097536" behindDoc="0" locked="0" layoutInCell="1" allowOverlap="1">
                      <wp:simplePos x="0" y="0"/>
                      <wp:positionH relativeFrom="column">
                        <wp:posOffset>5774055</wp:posOffset>
                      </wp:positionH>
                      <wp:positionV relativeFrom="paragraph">
                        <wp:posOffset>1905</wp:posOffset>
                      </wp:positionV>
                      <wp:extent cx="0" cy="501650"/>
                      <wp:effectExtent l="38100" t="0" r="38100" b="1270"/>
                      <wp:wrapNone/>
                      <wp:docPr id="83" name="直接箭头连接符 83"/>
                      <wp:cNvGraphicFramePr/>
                      <a:graphic xmlns:a="http://schemas.openxmlformats.org/drawingml/2006/main">
                        <a:graphicData uri="http://schemas.microsoft.com/office/word/2010/wordprocessingShape">
                          <wps:wsp>
                            <wps:cNvCnPr/>
                            <wps:spPr>
                              <a:xfrm>
                                <a:off x="6653530" y="4588510"/>
                                <a:ext cx="0" cy="501650"/>
                              </a:xfrm>
                              <a:prstGeom prst="straightConnector1">
                                <a:avLst/>
                              </a:prstGeom>
                              <a:ln>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54.65pt;margin-top:0.15pt;height:39.5pt;width:0pt;z-index:252097536;mso-width-relative:page;mso-height-relative:page;" filled="f" stroked="t" coordsize="21600,21600" o:gfxdata="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1m+hONMAAAAHAQAADwAAAAAAAAABACAAAAAiAAAAZHJzL2Rvd25yZXYu&#10;eG1sUEsBAhQAFAAAAAgAh07iQG6YdsgAAgAAsQMAAA4AAAAAAAAAAQAgAAAAIgEAAGRycy9lMm9E&#10;b2MueG1sUEsFBgAAAAAGAAYAWQEAAJQFAAAAAA==&#10;">
                      <v:fill on="f" focussize="0,0"/>
                      <v:stroke weight="0.5pt" color="#000000 [3213]" miterlimit="8" joinstyle="miter" endarrow="block" endarrowlength="long"/>
                      <v:imagedata o:title=""/>
                      <o:lock v:ext="edit" aspectratio="f"/>
                    </v:shape>
                  </w:pict>
                </mc:Fallback>
              </mc:AlternateContent>
            </w:r>
          </w:p>
          <w:p>
            <w:pPr>
              <w:widowControl/>
              <w:adjustRightInd w:val="0"/>
              <w:snapToGrid w:val="0"/>
              <w:jc w:val="center"/>
              <w:rPr>
                <w:rFonts w:ascii="Times New Roman" w:hAnsi="Times New Roman" w:eastAsia="宋体" w:cs="Times New Roman"/>
                <w:sz w:val="24"/>
                <w:szCs w:val="24"/>
              </w:rPr>
            </w:pPr>
          </w:p>
          <w:p>
            <w:pPr>
              <w:widowControl/>
              <w:adjustRightInd w:val="0"/>
              <w:snapToGrid w:val="0"/>
              <w:jc w:val="center"/>
              <w:rPr>
                <w:rFonts w:ascii="Times New Roman" w:hAnsi="Times New Roman" w:eastAsia="宋体" w:cs="Times New Roman"/>
                <w:sz w:val="24"/>
                <w:szCs w:val="24"/>
              </w:rPr>
            </w:pPr>
            <w:r>
              <w:rPr>
                <w:sz w:val="24"/>
              </w:rPr>
              <mc:AlternateContent>
                <mc:Choice Requires="wps">
                  <w:drawing>
                    <wp:anchor distT="0" distB="0" distL="114300" distR="114300" simplePos="0" relativeHeight="252096512" behindDoc="0" locked="0" layoutInCell="1" allowOverlap="1">
                      <wp:simplePos x="0" y="0"/>
                      <wp:positionH relativeFrom="column">
                        <wp:posOffset>5062855</wp:posOffset>
                      </wp:positionH>
                      <wp:positionV relativeFrom="paragraph">
                        <wp:posOffset>159385</wp:posOffset>
                      </wp:positionV>
                      <wp:extent cx="1022350" cy="463550"/>
                      <wp:effectExtent l="4445" t="4445" r="9525" b="19685"/>
                      <wp:wrapNone/>
                      <wp:docPr id="82" name="文本框 82"/>
                      <wp:cNvGraphicFramePr/>
                      <a:graphic xmlns:a="http://schemas.openxmlformats.org/drawingml/2006/main">
                        <a:graphicData uri="http://schemas.microsoft.com/office/word/2010/wordprocessingShape">
                          <wps:wsp>
                            <wps:cNvSpPr txBox="1"/>
                            <wps:spPr>
                              <a:xfrm>
                                <a:off x="5942330" y="5096510"/>
                                <a:ext cx="1022350" cy="463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柳林县污水处理厂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65pt;margin-top:12.55pt;height:36.5pt;width:80.5pt;z-index:252096512;mso-width-relative:page;mso-height-relative:page;" fillcolor="#FFFFFF [3201]" filled="t" stroked="t" coordsize="21600,21600" o:gfxdata="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7T+ZM1gAAAAkBAAAPAAAAAAAAAAEAIAAA&#10;ACIAAABkcnMvZG93bnJldi54bWxQSwECFAAUAAAACACHTuJAuYxcRUcCAAB3BAAADgAAAAAAAAAB&#10;ACAAAAAlAQAAZHJzL2Uyb0RvYy54bWxQSwUGAAAAAAYABgBZAQAA3gU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柳林县污水处理厂</w:t>
                            </w:r>
                          </w:p>
                        </w:txbxContent>
                      </v:textbox>
                    </v:shape>
                  </w:pict>
                </mc:Fallback>
              </mc:AlternateContent>
            </w:r>
          </w:p>
          <w:p>
            <w:pPr>
              <w:widowControl/>
              <w:adjustRightInd w:val="0"/>
              <w:snapToGrid w:val="0"/>
              <w:jc w:val="center"/>
              <w:rPr>
                <w:rFonts w:ascii="Times New Roman" w:hAnsi="Times New Roman" w:eastAsia="宋体" w:cs="Times New Roman"/>
                <w:sz w:val="24"/>
                <w:szCs w:val="24"/>
              </w:rPr>
            </w:pP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图1  项目水平衡示意图</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5）蒸汽平衡</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单位提供的资料，生产1t腐竹需要消耗3t热蒸汽，本项目在煮浆过程中热蒸汽通入煮浆锅中与豆浆间接接触加热；揭膜过程热蒸汽通入双层加热锅中夹层对豆浆进行间接加热；烘干过程热蒸汽通入暖气片间接加热以使烘干室内温度升高。热交换后，热蒸汽在管道中由于失去热量而变成冷凝水，然后通过管道进入电厂蒸汽循环使用系统。</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本项目热蒸汽用量为15000t/a（50t/d）（年工作300天），热蒸汽在煮浆过程，揭膜、干燥过程蒸汽加热方式为间接加热，</w:t>
            </w:r>
            <w:r>
              <w:rPr>
                <w:rFonts w:hint="eastAsia" w:ascii="Times New Roman" w:hAnsi="Times New Roman" w:eastAsia="宋体" w:cs="Times New Roman"/>
                <w:sz w:val="24"/>
                <w:szCs w:val="24"/>
                <w:lang w:val="en-US" w:eastAsia="zh-CN"/>
              </w:rPr>
              <w:t>蒸汽输送方式采用密封管道</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蒸汽损耗量</w:t>
            </w:r>
            <w:r>
              <w:rPr>
                <w:rFonts w:hint="eastAsia" w:ascii="Times New Roman" w:hAnsi="Times New Roman" w:eastAsia="宋体" w:cs="Times New Roman"/>
                <w:sz w:val="24"/>
                <w:szCs w:val="24"/>
                <w:lang w:val="en-US" w:eastAsia="zh-CN"/>
              </w:rPr>
              <w:t>可忽略</w:t>
            </w:r>
            <w:r>
              <w:rPr>
                <w:rFonts w:ascii="Times New Roman" w:hAnsi="Times New Roman" w:eastAsia="宋体" w:cs="Times New Roman"/>
                <w:sz w:val="24"/>
                <w:szCs w:val="24"/>
              </w:rPr>
              <w:t>。本项目蒸汽平衡如下图所示。</w:t>
            </w:r>
          </w:p>
          <w:p>
            <w:pPr>
              <w:pStyle w:val="2"/>
              <w:rPr>
                <w:rFonts w:ascii="Times New Roman" w:hAnsi="Times New Roman" w:eastAsia="宋体" w:cs="Times New Roman"/>
                <w:sz w:val="24"/>
                <w:szCs w:val="24"/>
              </w:rPr>
            </w:pPr>
          </w:p>
          <w:p>
            <w:pPr>
              <w:pStyle w:val="2"/>
              <w:rPr>
                <w:rFonts w:ascii="Times New Roman" w:hAnsi="Times New Roman" w:eastAsia="宋体" w:cs="Times New Roman"/>
                <w:sz w:val="24"/>
                <w:szCs w:val="24"/>
              </w:rPr>
            </w:pPr>
          </w:p>
          <w:p>
            <w:pPr>
              <w:pStyle w:val="2"/>
              <w:rPr>
                <w:rFonts w:ascii="Times New Roman" w:hAnsi="Times New Roman" w:eastAsia="宋体" w:cs="Times New Roman"/>
                <w:sz w:val="24"/>
                <w:szCs w:val="24"/>
              </w:rPr>
            </w:pPr>
          </w:p>
          <w:p>
            <w:pPr>
              <w:pStyle w:val="2"/>
              <w:rPr>
                <w:rFonts w:ascii="Times New Roman" w:hAnsi="Times New Roman" w:eastAsia="宋体" w:cs="Times New Roman"/>
                <w:sz w:val="24"/>
                <w:szCs w:val="24"/>
              </w:rPr>
            </w:pPr>
          </w:p>
          <w:p>
            <w:pPr>
              <w:spacing w:line="360" w:lineRule="auto"/>
              <w:rPr>
                <w:rFonts w:ascii="Times New Roman" w:hAnsi="Times New Roman" w:eastAsia="宋体" w:cs="Times New Roman"/>
                <w:b/>
                <w:sz w:val="24"/>
                <w:szCs w:val="24"/>
                <w:u w:val="single"/>
              </w:rPr>
            </w:pPr>
            <w:r>
              <w:rPr>
                <w:rFonts w:ascii="Times New Roman" w:hAnsi="Times New Roman" w:eastAsia="宋体" w:cs="Times New Roman"/>
                <w:b/>
                <w:sz w:val="24"/>
                <w:szCs w:val="24"/>
              </w:rPr>
              <mc:AlternateContent>
                <mc:Choice Requires="wpc">
                  <w:drawing>
                    <wp:inline distT="0" distB="0" distL="0" distR="0">
                      <wp:extent cx="5543550" cy="3640455"/>
                      <wp:effectExtent l="0" t="0" r="3175" b="0"/>
                      <wp:docPr id="279" name="画布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5" name="矩形 1111"/>
                              <wps:cNvSpPr>
                                <a:spLocks noChangeArrowheads="1"/>
                              </wps:cNvSpPr>
                              <wps:spPr bwMode="auto">
                                <a:xfrm>
                                  <a:off x="191770" y="1836420"/>
                                  <a:ext cx="599440" cy="494665"/>
                                </a:xfrm>
                                <a:prstGeom prst="rect">
                                  <a:avLst/>
                                </a:prstGeom>
                                <a:noFill/>
                                <a:ln>
                                  <a:noFill/>
                                </a:ln>
                              </wps:spPr>
                              <wps:txbx>
                                <w:txbxContent>
                                  <w:p>
                                    <w:r>
                                      <w:rPr>
                                        <w:rFonts w:hint="eastAsia"/>
                                      </w:rPr>
                                      <w:t>蒸汽</w:t>
                                    </w:r>
                                    <w:r>
                                      <w:t>50</w:t>
                                    </w:r>
                                    <w:r>
                                      <w:rPr>
                                        <w:rFonts w:hint="eastAsia"/>
                                      </w:rPr>
                                      <w:t>t/</w:t>
                                    </w:r>
                                    <w:r>
                                      <w:t>d</w:t>
                                    </w:r>
                                  </w:p>
                                  <w:p>
                                    <w:pPr>
                                      <w:pStyle w:val="9"/>
                                      <w:ind w:left="0" w:leftChars="0" w:firstLine="480"/>
                                      <w:jc w:val="center"/>
                                    </w:pPr>
                                    <w:r>
                                      <w:rPr>
                                        <w:rFonts w:hint="eastAsia"/>
                                      </w:rPr>
                                      <w:t>8</w:t>
                                    </w:r>
                                    <w:r>
                                      <w:t>t/d</w:t>
                                    </w:r>
                                  </w:p>
                                </w:txbxContent>
                              </wps:txbx>
                              <wps:bodyPr rot="0" vert="horz" wrap="square" lIns="91440" tIns="45720" rIns="91440" bIns="45720" anchor="t" anchorCtr="0" upright="1">
                                <a:noAutofit/>
                              </wps:bodyPr>
                            </wps:wsp>
                            <wps:wsp>
                              <wps:cNvPr id="256" name="矩形 1112"/>
                              <wps:cNvSpPr>
                                <a:spLocks noChangeArrowheads="1"/>
                              </wps:cNvSpPr>
                              <wps:spPr bwMode="auto">
                                <a:xfrm>
                                  <a:off x="1849120" y="741680"/>
                                  <a:ext cx="818515" cy="294640"/>
                                </a:xfrm>
                                <a:prstGeom prst="rect">
                                  <a:avLst/>
                                </a:prstGeom>
                                <a:noFill/>
                                <a:ln w="9525" cmpd="sng">
                                  <a:solidFill>
                                    <a:srgbClr val="000000"/>
                                  </a:solidFill>
                                  <a:miter lim="800000"/>
                                </a:ln>
                              </wps:spPr>
                              <wps:txbx>
                                <w:txbxContent>
                                  <w:p>
                                    <w:r>
                                      <w:rPr>
                                        <w:rFonts w:hint="eastAsia"/>
                                      </w:rPr>
                                      <w:t>煮浆工序</w:t>
                                    </w:r>
                                  </w:p>
                                </w:txbxContent>
                              </wps:txbx>
                              <wps:bodyPr rot="0" vert="horz" wrap="square" lIns="91440" tIns="45720" rIns="91440" bIns="45720" anchor="t" anchorCtr="0" upright="1">
                                <a:noAutofit/>
                              </wps:bodyPr>
                            </wps:wsp>
                            <wps:wsp>
                              <wps:cNvPr id="257" name="矩形 1113"/>
                              <wps:cNvSpPr>
                                <a:spLocks noChangeArrowheads="1"/>
                              </wps:cNvSpPr>
                              <wps:spPr bwMode="auto">
                                <a:xfrm>
                                  <a:off x="1849120" y="1940560"/>
                                  <a:ext cx="818515" cy="294005"/>
                                </a:xfrm>
                                <a:prstGeom prst="rect">
                                  <a:avLst/>
                                </a:prstGeom>
                                <a:noFill/>
                                <a:ln w="9525" cmpd="sng">
                                  <a:solidFill>
                                    <a:srgbClr val="000000"/>
                                  </a:solidFill>
                                  <a:miter lim="800000"/>
                                </a:ln>
                              </wps:spPr>
                              <wps:txbx>
                                <w:txbxContent>
                                  <w:p>
                                    <w:r>
                                      <w:rPr>
                                        <w:rFonts w:hint="eastAsia"/>
                                      </w:rPr>
                                      <w:t>揭膜工序</w:t>
                                    </w:r>
                                  </w:p>
                                </w:txbxContent>
                              </wps:txbx>
                              <wps:bodyPr rot="0" vert="horz" wrap="square" lIns="91440" tIns="45720" rIns="91440" bIns="45720" anchor="t" anchorCtr="0" upright="1">
                                <a:noAutofit/>
                              </wps:bodyPr>
                            </wps:wsp>
                            <wps:wsp>
                              <wps:cNvPr id="258" name="矩形 1114"/>
                              <wps:cNvSpPr>
                                <a:spLocks noChangeArrowheads="1"/>
                              </wps:cNvSpPr>
                              <wps:spPr bwMode="auto">
                                <a:xfrm>
                                  <a:off x="1849120" y="3065780"/>
                                  <a:ext cx="818515" cy="294640"/>
                                </a:xfrm>
                                <a:prstGeom prst="rect">
                                  <a:avLst/>
                                </a:prstGeom>
                                <a:noFill/>
                                <a:ln w="9525" cmpd="sng">
                                  <a:solidFill>
                                    <a:srgbClr val="000000"/>
                                  </a:solidFill>
                                  <a:miter lim="800000"/>
                                </a:ln>
                              </wps:spPr>
                              <wps:txbx>
                                <w:txbxContent>
                                  <w:p>
                                    <w:pPr>
                                      <w:jc w:val="center"/>
                                    </w:pPr>
                                    <w:r>
                                      <w:rPr>
                                        <w:rFonts w:hint="eastAsia"/>
                                      </w:rPr>
                                      <w:t>烘干工序</w:t>
                                    </w:r>
                                  </w:p>
                                </w:txbxContent>
                              </wps:txbx>
                              <wps:bodyPr rot="0" vert="horz" wrap="square" lIns="91440" tIns="45720" rIns="91440" bIns="45720" anchor="t" anchorCtr="0" upright="1">
                                <a:noAutofit/>
                              </wps:bodyPr>
                            </wps:wsp>
                            <wps:wsp>
                              <wps:cNvPr id="259" name="矩形 1115"/>
                              <wps:cNvSpPr>
                                <a:spLocks noChangeArrowheads="1"/>
                              </wps:cNvSpPr>
                              <wps:spPr bwMode="auto">
                                <a:xfrm>
                                  <a:off x="4140200" y="2512060"/>
                                  <a:ext cx="1378585" cy="294005"/>
                                </a:xfrm>
                                <a:prstGeom prst="rect">
                                  <a:avLst/>
                                </a:prstGeom>
                                <a:noFill/>
                                <a:ln w="9525" cmpd="sng">
                                  <a:solidFill>
                                    <a:srgbClr val="000000"/>
                                  </a:solidFill>
                                  <a:miter lim="800000"/>
                                </a:ln>
                              </wps:spPr>
                              <wps:txbx>
                                <w:txbxContent>
                                  <w:p>
                                    <w:r>
                                      <w:rPr>
                                        <w:rFonts w:hint="eastAsia"/>
                                      </w:rPr>
                                      <w:t>回到电厂循环使用</w:t>
                                    </w:r>
                                  </w:p>
                                </w:txbxContent>
                              </wps:txbx>
                              <wps:bodyPr rot="0" vert="horz" wrap="square" lIns="91440" tIns="45720" rIns="91440" bIns="45720" anchor="t" anchorCtr="0" upright="1">
                                <a:noAutofit/>
                              </wps:bodyPr>
                            </wps:wsp>
                            <wps:wsp>
                              <wps:cNvPr id="260" name="自选图形 1116"/>
                              <wps:cNvCnPr>
                                <a:cxnSpLocks noChangeShapeType="1"/>
                              </wps:cNvCnPr>
                              <wps:spPr bwMode="auto">
                                <a:xfrm flipV="1">
                                  <a:off x="791210" y="889000"/>
                                  <a:ext cx="1057910" cy="1195070"/>
                                </a:xfrm>
                                <a:prstGeom prst="bentConnector3">
                                  <a:avLst>
                                    <a:gd name="adj1" fmla="val 50000"/>
                                  </a:avLst>
                                </a:prstGeom>
                                <a:noFill/>
                                <a:ln w="9525" cmpd="sng">
                                  <a:solidFill>
                                    <a:srgbClr val="000000"/>
                                  </a:solidFill>
                                  <a:miter lim="800000"/>
                                  <a:tailEnd type="triangle" w="med" len="med"/>
                                </a:ln>
                              </wps:spPr>
                              <wps:bodyPr/>
                            </wps:wsp>
                            <wps:wsp>
                              <wps:cNvPr id="261" name="自选图形 1117"/>
                              <wps:cNvCnPr>
                                <a:cxnSpLocks noChangeShapeType="1"/>
                              </wps:cNvCnPr>
                              <wps:spPr bwMode="auto">
                                <a:xfrm>
                                  <a:off x="791210" y="2084070"/>
                                  <a:ext cx="1057910" cy="1129030"/>
                                </a:xfrm>
                                <a:prstGeom prst="bentConnector3">
                                  <a:avLst>
                                    <a:gd name="adj1" fmla="val 50000"/>
                                  </a:avLst>
                                </a:prstGeom>
                                <a:noFill/>
                                <a:ln w="9525" cmpd="sng">
                                  <a:solidFill>
                                    <a:srgbClr val="000000"/>
                                  </a:solidFill>
                                  <a:miter lim="800000"/>
                                  <a:tailEnd type="triangle" w="med" len="med"/>
                                </a:ln>
                              </wps:spPr>
                              <wps:bodyPr/>
                            </wps:wsp>
                            <wps:wsp>
                              <wps:cNvPr id="262" name="自选图形 1118"/>
                              <wps:cNvCnPr>
                                <a:cxnSpLocks noChangeShapeType="1"/>
                              </wps:cNvCnPr>
                              <wps:spPr bwMode="auto">
                                <a:xfrm>
                                  <a:off x="791210" y="2084070"/>
                                  <a:ext cx="1057910" cy="3810"/>
                                </a:xfrm>
                                <a:prstGeom prst="straightConnector1">
                                  <a:avLst/>
                                </a:prstGeom>
                                <a:noFill/>
                                <a:ln w="9525" cmpd="sng">
                                  <a:solidFill>
                                    <a:srgbClr val="000000"/>
                                  </a:solidFill>
                                  <a:round/>
                                  <a:tailEnd type="triangle" w="med" len="med"/>
                                </a:ln>
                              </wps:spPr>
                              <wps:bodyPr/>
                            </wps:wsp>
                            <wps:wsp>
                              <wps:cNvPr id="263" name="自选图形 1119"/>
                              <wps:cNvCnPr>
                                <a:cxnSpLocks noChangeShapeType="1"/>
                              </wps:cNvCnPr>
                              <wps:spPr bwMode="auto">
                                <a:xfrm>
                                  <a:off x="2667635" y="2087880"/>
                                  <a:ext cx="1471295" cy="570865"/>
                                </a:xfrm>
                                <a:prstGeom prst="bentConnector3">
                                  <a:avLst>
                                    <a:gd name="adj1" fmla="val 50023"/>
                                  </a:avLst>
                                </a:prstGeom>
                                <a:noFill/>
                                <a:ln w="9525" cmpd="sng">
                                  <a:solidFill>
                                    <a:srgbClr val="000000"/>
                                  </a:solidFill>
                                  <a:miter lim="800000"/>
                                  <a:tailEnd type="triangle" w="med" len="med"/>
                                </a:ln>
                              </wps:spPr>
                              <wps:bodyPr/>
                            </wps:wsp>
                            <wps:wsp>
                              <wps:cNvPr id="264" name="自选图形 1120"/>
                              <wps:cNvCnPr>
                                <a:cxnSpLocks noChangeShapeType="1"/>
                              </wps:cNvCnPr>
                              <wps:spPr bwMode="auto">
                                <a:xfrm flipV="1">
                                  <a:off x="2667635" y="2658745"/>
                                  <a:ext cx="1466215" cy="554355"/>
                                </a:xfrm>
                                <a:prstGeom prst="bentConnector3">
                                  <a:avLst>
                                    <a:gd name="adj1" fmla="val 50023"/>
                                  </a:avLst>
                                </a:prstGeom>
                                <a:noFill/>
                                <a:ln w="9525" cmpd="sng">
                                  <a:solidFill>
                                    <a:srgbClr val="000000"/>
                                  </a:solidFill>
                                  <a:miter lim="800000"/>
                                  <a:tailEnd type="triangle" w="med" len="med"/>
                                </a:ln>
                              </wps:spPr>
                              <wps:bodyPr/>
                            </wps:wsp>
                            <wps:wsp>
                              <wps:cNvPr id="265" name="矩形 1121"/>
                              <wps:cNvSpPr>
                                <a:spLocks noChangeArrowheads="1"/>
                              </wps:cNvSpPr>
                              <wps:spPr bwMode="auto">
                                <a:xfrm>
                                  <a:off x="1239520" y="2959735"/>
                                  <a:ext cx="618490" cy="294640"/>
                                </a:xfrm>
                                <a:prstGeom prst="rect">
                                  <a:avLst/>
                                </a:prstGeom>
                                <a:noFill/>
                                <a:ln>
                                  <a:noFill/>
                                </a:ln>
                              </wps:spPr>
                              <wps:txbx>
                                <w:txbxContent>
                                  <w:p>
                                    <w:r>
                                      <w:t>22.5t/d</w:t>
                                    </w:r>
                                  </w:p>
                                </w:txbxContent>
                              </wps:txbx>
                              <wps:bodyPr rot="0" vert="horz" wrap="square" lIns="91440" tIns="45720" rIns="91440" bIns="45720" anchor="t" anchorCtr="0" upright="1">
                                <a:noAutofit/>
                              </wps:bodyPr>
                            </wps:wsp>
                            <wps:wsp>
                              <wps:cNvPr id="266" name="矩形 1122"/>
                              <wps:cNvSpPr>
                                <a:spLocks noChangeArrowheads="1"/>
                              </wps:cNvSpPr>
                              <wps:spPr bwMode="auto">
                                <a:xfrm>
                                  <a:off x="1229995" y="1845945"/>
                                  <a:ext cx="618490" cy="294640"/>
                                </a:xfrm>
                                <a:prstGeom prst="rect">
                                  <a:avLst/>
                                </a:prstGeom>
                                <a:noFill/>
                                <a:ln>
                                  <a:noFill/>
                                </a:ln>
                              </wps:spPr>
                              <wps:txbx>
                                <w:txbxContent>
                                  <w:p>
                                    <w:r>
                                      <w:t>15t/d</w:t>
                                    </w:r>
                                  </w:p>
                                </w:txbxContent>
                              </wps:txbx>
                              <wps:bodyPr rot="0" vert="horz" wrap="square" lIns="91440" tIns="45720" rIns="91440" bIns="45720" anchor="t" anchorCtr="0" upright="1">
                                <a:noAutofit/>
                              </wps:bodyPr>
                            </wps:wsp>
                            <wps:wsp>
                              <wps:cNvPr id="267" name="矩形 1123"/>
                              <wps:cNvSpPr>
                                <a:spLocks noChangeArrowheads="1"/>
                              </wps:cNvSpPr>
                              <wps:spPr bwMode="auto">
                                <a:xfrm>
                                  <a:off x="1229995" y="655320"/>
                                  <a:ext cx="618490" cy="294640"/>
                                </a:xfrm>
                                <a:prstGeom prst="rect">
                                  <a:avLst/>
                                </a:prstGeom>
                                <a:noFill/>
                                <a:ln>
                                  <a:noFill/>
                                </a:ln>
                              </wps:spPr>
                              <wps:txbx>
                                <w:txbxContent>
                                  <w:p>
                                    <w:r>
                                      <w:t>12.5t/d</w:t>
                                    </w:r>
                                  </w:p>
                                </w:txbxContent>
                              </wps:txbx>
                              <wps:bodyPr rot="0" vert="horz" wrap="square" lIns="91440" tIns="45720" rIns="91440" bIns="45720" anchor="t" anchorCtr="0" upright="1">
                                <a:noAutofit/>
                              </wps:bodyPr>
                            </wps:wsp>
                            <wps:wsp>
                              <wps:cNvPr id="274" name="矩形 1130"/>
                              <wps:cNvSpPr>
                                <a:spLocks noChangeArrowheads="1"/>
                              </wps:cNvSpPr>
                              <wps:spPr bwMode="auto">
                                <a:xfrm>
                                  <a:off x="2773045" y="1836420"/>
                                  <a:ext cx="599440" cy="494665"/>
                                </a:xfrm>
                                <a:prstGeom prst="rect">
                                  <a:avLst/>
                                </a:prstGeom>
                                <a:noFill/>
                                <a:ln>
                                  <a:noFill/>
                                </a:ln>
                              </wps:spPr>
                              <wps:txbx>
                                <w:txbxContent>
                                  <w:p>
                                    <w:r>
                                      <w:rPr>
                                        <w:rFonts w:hint="eastAsia"/>
                                        <w:lang w:val="en-US" w:eastAsia="zh-CN"/>
                                      </w:rPr>
                                      <w:t>15.0</w:t>
                                    </w:r>
                                    <w:r>
                                      <w:t>t/d</w:t>
                                    </w:r>
                                  </w:p>
                                  <w:p>
                                    <w:r>
                                      <w:rPr>
                                        <w:rFonts w:hint="eastAsia"/>
                                      </w:rPr>
                                      <w:t>冷凝</w:t>
                                    </w:r>
                                  </w:p>
                                </w:txbxContent>
                              </wps:txbx>
                              <wps:bodyPr rot="0" vert="horz" wrap="square" lIns="91440" tIns="45720" rIns="91440" bIns="45720" anchor="t" anchorCtr="0" upright="1">
                                <a:noAutofit/>
                              </wps:bodyPr>
                            </wps:wsp>
                            <wps:wsp>
                              <wps:cNvPr id="275" name="矩形 1131"/>
                              <wps:cNvSpPr>
                                <a:spLocks noChangeArrowheads="1"/>
                              </wps:cNvSpPr>
                              <wps:spPr bwMode="auto">
                                <a:xfrm>
                                  <a:off x="2773045" y="2959735"/>
                                  <a:ext cx="675640" cy="494665"/>
                                </a:xfrm>
                                <a:prstGeom prst="rect">
                                  <a:avLst/>
                                </a:prstGeom>
                                <a:noFill/>
                                <a:ln>
                                  <a:noFill/>
                                </a:ln>
                              </wps:spPr>
                              <wps:txbx>
                                <w:txbxContent>
                                  <w:p>
                                    <w:r>
                                      <w:rPr>
                                        <w:rFonts w:hint="eastAsia"/>
                                        <w:lang w:val="en-US" w:eastAsia="zh-CN"/>
                                      </w:rPr>
                                      <w:t>22.5</w:t>
                                    </w:r>
                                    <w:r>
                                      <w:t>t/d</w:t>
                                    </w:r>
                                  </w:p>
                                  <w:p>
                                    <w:r>
                                      <w:rPr>
                                        <w:rFonts w:hint="eastAsia"/>
                                      </w:rPr>
                                      <w:t>冷凝</w:t>
                                    </w:r>
                                  </w:p>
                                </w:txbxContent>
                              </wps:txbx>
                              <wps:bodyPr rot="0" vert="horz" wrap="square" lIns="91440" tIns="45720" rIns="91440" bIns="45720" anchor="t" anchorCtr="0" upright="1">
                                <a:noAutofit/>
                              </wps:bodyPr>
                            </wps:wsp>
                            <wps:wsp>
                              <wps:cNvPr id="276" name="矩形 1132"/>
                              <wps:cNvSpPr>
                                <a:spLocks noChangeArrowheads="1"/>
                              </wps:cNvSpPr>
                              <wps:spPr bwMode="auto">
                                <a:xfrm>
                                  <a:off x="3426460" y="2364740"/>
                                  <a:ext cx="713740" cy="294640"/>
                                </a:xfrm>
                                <a:prstGeom prst="rect">
                                  <a:avLst/>
                                </a:prstGeom>
                                <a:noFill/>
                                <a:ln>
                                  <a:noFill/>
                                </a:ln>
                              </wps:spPr>
                              <wps:txbx>
                                <w:txbxContent>
                                  <w:p>
                                    <w:r>
                                      <w:rPr>
                                        <w:rFonts w:hint="eastAsia"/>
                                        <w:lang w:val="en-US" w:eastAsia="zh-CN"/>
                                      </w:rPr>
                                      <w:t>37.5</w:t>
                                    </w:r>
                                    <w:r>
                                      <w:t>t/d</w:t>
                                    </w:r>
                                  </w:p>
                                </w:txbxContent>
                              </wps:txbx>
                              <wps:bodyPr rot="0" vert="horz" wrap="square" lIns="91440" tIns="45720" rIns="91440" bIns="45720" anchor="t" anchorCtr="0" upright="1">
                                <a:noAutofit/>
                              </wps:bodyPr>
                            </wps:wsp>
                            <wps:wsp>
                              <wps:cNvPr id="277" name="自选图形 1133"/>
                              <wps:cNvCnPr>
                                <a:cxnSpLocks noChangeShapeType="1"/>
                              </wps:cNvCnPr>
                              <wps:spPr bwMode="auto">
                                <a:xfrm>
                                  <a:off x="2667635" y="889000"/>
                                  <a:ext cx="2162175" cy="1623060"/>
                                </a:xfrm>
                                <a:prstGeom prst="bentConnector2">
                                  <a:avLst/>
                                </a:prstGeom>
                                <a:noFill/>
                                <a:ln w="9525" cmpd="sng">
                                  <a:solidFill>
                                    <a:srgbClr val="000000"/>
                                  </a:solidFill>
                                  <a:miter lim="800000"/>
                                  <a:tailEnd type="triangle" w="med" len="med"/>
                                </a:ln>
                              </wps:spPr>
                              <wps:bodyPr/>
                            </wps:wsp>
                            <wps:wsp>
                              <wps:cNvPr id="278" name="矩形 1134"/>
                              <wps:cNvSpPr>
                                <a:spLocks noChangeArrowheads="1"/>
                              </wps:cNvSpPr>
                              <wps:spPr bwMode="auto">
                                <a:xfrm>
                                  <a:off x="3303905" y="556260"/>
                                  <a:ext cx="756285" cy="292100"/>
                                </a:xfrm>
                                <a:prstGeom prst="rect">
                                  <a:avLst/>
                                </a:prstGeom>
                                <a:noFill/>
                                <a:ln>
                                  <a:noFill/>
                                </a:ln>
                              </wps:spPr>
                              <wps:txbx>
                                <w:txbxContent>
                                  <w:p>
                                    <w:r>
                                      <w:rPr>
                                        <w:rFonts w:hint="eastAsia"/>
                                        <w:lang w:val="en-US" w:eastAsia="zh-CN"/>
                                      </w:rPr>
                                      <w:t>12.5</w:t>
                                    </w:r>
                                    <w:r>
                                      <w:t>t/d</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286.65pt;width:436.5pt;" coordsize="5543550,3640455" editas="canvas"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">
                      <o:lock v:ext="edit" aspectratio="f"/>
                      <v:shape id="_x0000_s1026" o:spid="_x0000_s1026" style="position:absolute;left:0;top:0;height:3640455;width:554355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">
                        <v:fill on="f" focussize="0,0"/>
                        <v:stroke on="f"/>
                        <v:imagedata o:title=""/>
                        <o:lock v:ext="edit" aspectratio="t"/>
                      </v:shape>
                      <v:rect id="矩形 1111" o:spid="_x0000_s1026" o:spt="1" style="position:absolute;left:191770;top:1836420;height:494665;width:5994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rkV1DXAAAABQEAAA8AAAAAAAAAAQAgAAAAIgAAAGRycy9kb3ducmV2&#10;LnhtbFBLAQIUABQAAAAIAIdO4kBXdQbb/QEAAMkDAAAOAAAAAAAAAAEAIAAAACYBAABkcnMvZTJv&#10;RG9jLnhtbFBLBQYAAAAABgAGAFkBAACVBQAAAAA=&#10;">
                        <v:fill on="f" focussize="0,0"/>
                        <v:stroke on="f"/>
                        <v:imagedata o:title=""/>
                        <o:lock v:ext="edit" aspectratio="f"/>
                        <v:textbox>
                          <w:txbxContent>
                            <w:p>
                              <w:r>
                                <w:rPr>
                                  <w:rFonts w:hint="eastAsia"/>
                                </w:rPr>
                                <w:t>蒸汽</w:t>
                              </w:r>
                              <w:r>
                                <w:t>50</w:t>
                              </w:r>
                              <w:r>
                                <w:rPr>
                                  <w:rFonts w:hint="eastAsia"/>
                                </w:rPr>
                                <w:t>t/</w:t>
                              </w:r>
                              <w:r>
                                <w:t>d</w:t>
                              </w:r>
                            </w:p>
                            <w:p>
                              <w:pPr>
                                <w:pStyle w:val="9"/>
                                <w:ind w:left="0" w:leftChars="0" w:firstLine="480"/>
                                <w:jc w:val="center"/>
                              </w:pPr>
                              <w:r>
                                <w:rPr>
                                  <w:rFonts w:hint="eastAsia"/>
                                </w:rPr>
                                <w:t>8</w:t>
                              </w:r>
                              <w:r>
                                <w:t>t/d</w:t>
                              </w:r>
                            </w:p>
                          </w:txbxContent>
                        </v:textbox>
                      </v:rect>
                      <v:rect id="矩形 1112" o:spid="_x0000_s1026" o:spt="1" style="position:absolute;left:1849120;top:741680;height:294640;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mlsQj1AAAAAUBAAAPAAAAAAAAAAEAIAAAACIAAABkcnMvZG93bnJldi54bWxQSwECFAAUAAAA&#10;CACHTuJAkW8zNysCAAAdBAAADgAAAAAAAAABACAAAAAjAQAAZHJzL2Uyb0RvYy54bWxQSwUGAAAA&#10;AAYABgBZAQAAwAUAAAAA&#10;">
                        <v:fill on="f" focussize="0,0"/>
                        <v:stroke color="#000000" miterlimit="8" joinstyle="miter"/>
                        <v:imagedata o:title=""/>
                        <o:lock v:ext="edit" aspectratio="f"/>
                        <v:textbox>
                          <w:txbxContent>
                            <w:p>
                              <w:r>
                                <w:rPr>
                                  <w:rFonts w:hint="eastAsia"/>
                                </w:rPr>
                                <w:t>煮浆工序</w:t>
                              </w:r>
                            </w:p>
                          </w:txbxContent>
                        </v:textbox>
                      </v:rect>
                      <v:rect id="矩形 1113" o:spid="_x0000_s1026" o:spt="1" style="position:absolute;left:1849120;top:1940560;height:294005;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pbEI9QAAAAFAQAADwAAAAAAAAABACAAAAAiAAAAZHJzL2Rvd25yZXYueG1sUEsBAhQAFAAAAAgA&#10;h07iQCkF5M4pAgAAHgQAAA4AAAAAAAAAAQAgAAAAIwEAAGRycy9lMm9Eb2MueG1sUEsFBgAAAAAG&#10;AAYAWQEAAL4FAAAAAA==&#10;">
                        <v:fill on="f" focussize="0,0"/>
                        <v:stroke color="#000000" miterlimit="8" joinstyle="miter"/>
                        <v:imagedata o:title=""/>
                        <o:lock v:ext="edit" aspectratio="f"/>
                        <v:textbox>
                          <w:txbxContent>
                            <w:p>
                              <w:r>
                                <w:rPr>
                                  <w:rFonts w:hint="eastAsia"/>
                                </w:rPr>
                                <w:t>揭膜工序</w:t>
                              </w:r>
                            </w:p>
                          </w:txbxContent>
                        </v:textbox>
                      </v:rect>
                      <v:rect id="矩形 1114" o:spid="_x0000_s1026" o:spt="1" style="position:absolute;left:1849120;top:3065780;height:294640;width:81851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pbEI9QAAAAFAQAADwAAAAAAAAABACAAAAAiAAAAZHJzL2Rvd25yZXYueG1sUEsBAhQAFAAA&#10;AAgAh07iQBFDzaAsAgAAHgQAAA4AAAAAAAAAAQAgAAAAIwEAAGRycy9lMm9Eb2MueG1sUEsFBgAA&#10;AAAGAAYAWQEAAMEFAAAAAA==&#10;">
                        <v:fill on="f" focussize="0,0"/>
                        <v:stroke color="#000000" miterlimit="8" joinstyle="miter"/>
                        <v:imagedata o:title=""/>
                        <o:lock v:ext="edit" aspectratio="f"/>
                        <v:textbox>
                          <w:txbxContent>
                            <w:p>
                              <w:pPr>
                                <w:jc w:val="center"/>
                              </w:pPr>
                              <w:r>
                                <w:rPr>
                                  <w:rFonts w:hint="eastAsia"/>
                                </w:rPr>
                                <w:t>烘干工序</w:t>
                              </w:r>
                            </w:p>
                          </w:txbxContent>
                        </v:textbox>
                      </v:rect>
                      <v:rect id="矩形 1115" o:spid="_x0000_s1026" o:spt="1" style="position:absolute;left:4140200;top:2512060;height:294005;width:1378585;" filled="f" stroked="t" coordsize="21600,21600" o:gfxdata="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pbEI9QAAAAFAQAADwAAAAAAAAABACAAAAAiAAAAZHJzL2Rvd25yZXYueG1sUEsBAhQAFAAA&#10;AAgAh07iQL5jfRUsAgAAHwQAAA4AAAAAAAAAAQAgAAAAIwEAAGRycy9lMm9Eb2MueG1sUEsFBgAA&#10;AAAGAAYAWQEAAMEFAAAAAA==&#10;">
                        <v:fill on="f" focussize="0,0"/>
                        <v:stroke color="#000000" miterlimit="8" joinstyle="miter"/>
                        <v:imagedata o:title=""/>
                        <o:lock v:ext="edit" aspectratio="f"/>
                        <v:textbox>
                          <w:txbxContent>
                            <w:p>
                              <w:r>
                                <w:rPr>
                                  <w:rFonts w:hint="eastAsia"/>
                                </w:rPr>
                                <w:t>回到电厂循环使用</w:t>
                              </w:r>
                            </w:p>
                          </w:txbxContent>
                        </v:textbox>
                      </v:rect>
                      <v:shape id="自选图形 1116" o:spid="_x0000_s1026" o:spt="34" type="#_x0000_t34" style="position:absolute;left:791210;top:889000;flip:y;height:1195070;width:1057910;" filled="f" stroked="t" coordsize="21600,21600" o:gfxdata="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3W573U&#10;AAAABQEAAA8AAAAAAAAAAQAgAAAAIgAAAGRycy9kb3ducmV2LnhtbFBLAQIUABQAAAAIAIdO4kAK&#10;c0rqJAIAAPUDAAAOAAAAAAAAAAEAIAAAACMBAABkcnMvZTJvRG9jLnhtbFBLBQYAAAAABgAGAFkB&#10;AAC5BQAAAAA=&#10;" adj="10800">
                        <v:fill on="f" focussize="0,0"/>
                        <v:stroke color="#000000" miterlimit="8" joinstyle="miter" endarrow="block"/>
                        <v:imagedata o:title=""/>
                        <o:lock v:ext="edit" aspectratio="f"/>
                      </v:shape>
                      <v:shape id="自选图形 1117" o:spid="_x0000_s1026" o:spt="34" type="#_x0000_t34" style="position:absolute;left:791210;top:2084070;height:1129030;width:1057910;" filled="f" stroked="t" coordsize="21600,21600" o:gfxdata="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IlsJ9UAAAAF&#10;AQAADwAAAAAAAAABACAAAAAiAAAAZHJzL2Rvd25yZXYueG1sUEsBAhQAFAAAAAgAh07iQMn3PUUf&#10;AgAA7AMAAA4AAAAAAAAAAQAgAAAAJAEAAGRycy9lMm9Eb2MueG1sUEsFBgAAAAAGAAYAWQEAALUF&#10;AAAAAA==&#10;" adj="10800">
                        <v:fill on="f" focussize="0,0"/>
                        <v:stroke color="#000000" miterlimit="8" joinstyle="miter" endarrow="block"/>
                        <v:imagedata o:title=""/>
                        <o:lock v:ext="edit" aspectratio="f"/>
                      </v:shape>
                      <v:shape id="自选图形 1118" o:spid="_x0000_s1026" o:spt="32" type="#_x0000_t32" style="position:absolute;left:791210;top:2084070;height:3810;width:1057910;" filled="f" stroked="t" coordsize="21600,21600" o:gfxdata="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fiwNdYAAAAFAQAADwAAAAAAAAABACAAAAAiAAAAZHJzL2Rv&#10;d25yZXYueG1sUEsBAhQAFAAAAAgAh07iQH8mA/oDAgAAswMAAA4AAAAAAAAAAQAgAAAAJQEAAGRy&#10;cy9lMm9Eb2MueG1sUEsFBgAAAAAGAAYAWQEAAJoFAAAAAA==&#10;">
                        <v:fill on="f" focussize="0,0"/>
                        <v:stroke color="#000000" joinstyle="round" endarrow="block"/>
                        <v:imagedata o:title=""/>
                        <o:lock v:ext="edit" aspectratio="f"/>
                      </v:shape>
                      <v:shape id="自选图形 1119" o:spid="_x0000_s1026" o:spt="34" type="#_x0000_t34" style="position:absolute;left:2667635;top:2087880;height:570865;width:1471295;" filled="f" stroked="t" coordsize="21600,21600" o:gfxdata="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LUXk9QAAAAF&#10;AQAADwAAAAAAAAABACAAAAAiAAAAZHJzL2Rvd25yZXYueG1sUEsBAhQAFAAAAAgAh07iQK7PuCMg&#10;AgAA7AMAAA4AAAAAAAAAAQAgAAAAIwEAAGRycy9lMm9Eb2MueG1sUEsFBgAAAAAGAAYAWQEAALUF&#10;AAAAAA==&#10;" adj="10805">
                        <v:fill on="f" focussize="0,0"/>
                        <v:stroke color="#000000" miterlimit="8" joinstyle="miter" endarrow="block"/>
                        <v:imagedata o:title=""/>
                        <o:lock v:ext="edit" aspectratio="f"/>
                      </v:shape>
                      <v:shape id="自选图形 1120" o:spid="_x0000_s1026" o:spt="34" type="#_x0000_t34" style="position:absolute;left:2667635;top:2658745;flip:y;height:554355;width:1466215;" filled="f" stroked="t" coordsize="21600,21600" o:gfxdata="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B&#10;w96r1AAAAAUBAAAPAAAAAAAAAAEAIAAAACIAAABkcnMvZG93bnJldi54bWxQSwECFAAUAAAACACH&#10;TuJAh0SJkCgCAAD2AwAADgAAAAAAAAABACAAAAAjAQAAZHJzL2Uyb0RvYy54bWxQSwUGAAAAAAYA&#10;BgBZAQAAvQUAAAAA&#10;" adj="10805">
                        <v:fill on="f" focussize="0,0"/>
                        <v:stroke color="#000000" miterlimit="8" joinstyle="miter" endarrow="block"/>
                        <v:imagedata o:title=""/>
                        <o:lock v:ext="edit" aspectratio="f"/>
                      </v:shape>
                      <v:rect id="矩形 1121" o:spid="_x0000_s1026" o:spt="1" style="position:absolute;left:1239520;top:2959735;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rkV1DXAAAABQEAAA8AAAAAAAAAAQAgAAAAIgAAAGRycy9kb3du&#10;cmV2LnhtbFBLAQIUABQAAAAIAIdO4kCrGuqwAAIAAMoDAAAOAAAAAAAAAAEAIAAAACYBAABkcnMv&#10;ZTJvRG9jLnhtbFBLBQYAAAAABgAGAFkBAACYBQAAAAA=&#10;">
                        <v:fill on="f" focussize="0,0"/>
                        <v:stroke on="f"/>
                        <v:imagedata o:title=""/>
                        <o:lock v:ext="edit" aspectratio="f"/>
                        <v:textbox>
                          <w:txbxContent>
                            <w:p>
                              <w:r>
                                <w:t>22.5t/d</w:t>
                              </w:r>
                            </w:p>
                          </w:txbxContent>
                        </v:textbox>
                      </v:rect>
                      <v:rect id="矩形 1122" o:spid="_x0000_s1026" o:spt="1" style="position:absolute;left:1229995;top:1845945;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65FdQ1wAAAAUBAAAPAAAAAAAAAAEAIAAAACIAAABkcnMvZG93&#10;bnJldi54bWxQSwECFAAUAAAACACHTuJA89RWsgECAADKAwAADgAAAAAAAAABACAAAAAmAQAAZHJz&#10;L2Uyb0RvYy54bWxQSwUGAAAAAAYABgBZAQAAmQUAAAAA&#10;">
                        <v:fill on="f" focussize="0,0"/>
                        <v:stroke on="f"/>
                        <v:imagedata o:title=""/>
                        <o:lock v:ext="edit" aspectratio="f"/>
                        <v:textbox>
                          <w:txbxContent>
                            <w:p>
                              <w:r>
                                <w:t>15t/d</w:t>
                              </w:r>
                            </w:p>
                          </w:txbxContent>
                        </v:textbox>
                      </v:rect>
                      <v:rect id="矩形 1123" o:spid="_x0000_s1026" o:spt="1" style="position:absolute;left:1229995;top:655320;height:294640;width:61849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uRXUNcAAAAFAQAADwAAAAAAAAABACAAAAAiAAAAZHJzL2Rv&#10;d25yZXYueG1sUEsBAhQAFAAAAAgAh07iQBinO7wCAgAAyQMAAA4AAAAAAAAAAQAgAAAAJgEAAGRy&#10;cy9lMm9Eb2MueG1sUEsFBgAAAAAGAAYAWQEAAJoFAAAAAA==&#10;">
                        <v:fill on="f" focussize="0,0"/>
                        <v:stroke on="f"/>
                        <v:imagedata o:title=""/>
                        <o:lock v:ext="edit" aspectratio="f"/>
                        <v:textbox>
                          <w:txbxContent>
                            <w:p>
                              <w:r>
                                <w:t>12.5t/d</w:t>
                              </w:r>
                            </w:p>
                          </w:txbxContent>
                        </v:textbox>
                      </v:rect>
                      <v:rect id="矩形 1130" o:spid="_x0000_s1026" o:spt="1" style="position:absolute;left:2773045;top:1836420;height:494665;width:5994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65FdQ1wAAAAUBAAAPAAAAAAAAAAEAIAAAACIAAABkcnMvZG93&#10;bnJldi54bWxQSwECFAAUAAAACACHTuJA89EVJAECAADKAwAADgAAAAAAAAABACAAAAAmAQAAZHJz&#10;L2Uyb0RvYy54bWxQSwUGAAAAAAYABgBZAQAAmQUAAAAA&#10;">
                        <v:fill on="f" focussize="0,0"/>
                        <v:stroke on="f"/>
                        <v:imagedata o:title=""/>
                        <o:lock v:ext="edit" aspectratio="f"/>
                        <v:textbox>
                          <w:txbxContent>
                            <w:p>
                              <w:r>
                                <w:rPr>
                                  <w:rFonts w:hint="eastAsia"/>
                                  <w:lang w:val="en-US" w:eastAsia="zh-CN"/>
                                </w:rPr>
                                <w:t>15.0</w:t>
                              </w:r>
                              <w:r>
                                <w:t>t/d</w:t>
                              </w:r>
                            </w:p>
                            <w:p>
                              <w:r>
                                <w:rPr>
                                  <w:rFonts w:hint="eastAsia"/>
                                </w:rPr>
                                <w:t>冷凝</w:t>
                              </w:r>
                            </w:p>
                          </w:txbxContent>
                        </v:textbox>
                      </v:rect>
                      <v:rect id="矩形 1131" o:spid="_x0000_s1026" o:spt="1" style="position:absolute;left:2773045;top:2959735;height:494665;width:6756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rkV1DXAAAABQEAAA8AAAAAAAAAAQAgAAAAIgAAAGRycy9kb3du&#10;cmV2LnhtbFBLAQIUABQAAAAIAIdO4kDiF/eFAAIAAMoDAAAOAAAAAAAAAAEAIAAAACYBAABkcnMv&#10;ZTJvRG9jLnhtbFBLBQYAAAAABgAGAFkBAACYBQAAAAA=&#10;">
                        <v:fill on="f" focussize="0,0"/>
                        <v:stroke on="f"/>
                        <v:imagedata o:title=""/>
                        <o:lock v:ext="edit" aspectratio="f"/>
                        <v:textbox>
                          <w:txbxContent>
                            <w:p>
                              <w:r>
                                <w:rPr>
                                  <w:rFonts w:hint="eastAsia"/>
                                  <w:lang w:val="en-US" w:eastAsia="zh-CN"/>
                                </w:rPr>
                                <w:t>22.5</w:t>
                              </w:r>
                              <w:r>
                                <w:t>t/d</w:t>
                              </w:r>
                            </w:p>
                            <w:p>
                              <w:r>
                                <w:rPr>
                                  <w:rFonts w:hint="eastAsia"/>
                                </w:rPr>
                                <w:t>冷凝</w:t>
                              </w:r>
                            </w:p>
                          </w:txbxContent>
                        </v:textbox>
                      </v:rect>
                      <v:rect id="矩形 1132" o:spid="_x0000_s1026" o:spt="1" style="position:absolute;left:3426460;top:2364740;height:294640;width:713740;"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65FdQ1wAAAAUBAAAPAAAAAAAAAAEAIAAAACIAAABkcnMvZG93bnJl&#10;di54bWxQSwECFAAUAAAACACHTuJATdMT4f4BAADKAwAADgAAAAAAAAABACAAAAAmAQAAZHJzL2Uy&#10;b0RvYy54bWxQSwUGAAAAAAYABgBZAQAAlgUAAAAA&#10;">
                        <v:fill on="f" focussize="0,0"/>
                        <v:stroke on="f"/>
                        <v:imagedata o:title=""/>
                        <o:lock v:ext="edit" aspectratio="f"/>
                        <v:textbox>
                          <w:txbxContent>
                            <w:p>
                              <w:r>
                                <w:rPr>
                                  <w:rFonts w:hint="eastAsia"/>
                                  <w:lang w:val="en-US" w:eastAsia="zh-CN"/>
                                </w:rPr>
                                <w:t>37.5</w:t>
                              </w:r>
                              <w:r>
                                <w:t>t/d</w:t>
                              </w:r>
                            </w:p>
                          </w:txbxContent>
                        </v:textbox>
                      </v:rect>
                      <v:shape id="自选图形 1133" o:spid="_x0000_s1026" o:spt="33" type="#_x0000_t33" style="position:absolute;left:2667635;top:889000;height:1623060;width:2162175;" filled="f" stroked="t" coordsize="21600,21600" o:gfxdata="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OHA+g1gAAAAUBAAAPAAAAAAAAAAEAIAAAACIAAABk&#10;cnMvZG93bnJldi54bWxQSwECFAAUAAAACACHTuJARHDEAQgCAAC/AwAADgAAAAAAAAABACAAAAAl&#10;AQAAZHJzL2Uyb0RvYy54bWxQSwUGAAAAAAYABgBZAQAAnwUAAAAA&#10;">
                        <v:fill on="f" focussize="0,0"/>
                        <v:stroke color="#000000" miterlimit="8" joinstyle="miter" endarrow="block"/>
                        <v:imagedata o:title=""/>
                        <o:lock v:ext="edit" aspectratio="f"/>
                      </v:shape>
                      <v:rect id="矩形 1134" o:spid="_x0000_s1026" o:spt="1" style="position:absolute;left:3303905;top:556260;height:292100;width:756285;" filled="f" stroked="f" coordsize="21600,21600" o:gfxdata="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rkV1DXAAAABQEAAA8AAAAAAAAAAQAgAAAAIgAAAGRycy9kb3du&#10;cmV2LnhtbFBLAQIUABQAAAAIAIdO4kDvCtRRAAIAAMkDAAAOAAAAAAAAAAEAIAAAACYBAABkcnMv&#10;ZTJvRG9jLnhtbFBLBQYAAAAABgAGAFkBAACYBQAAAAA=&#10;">
                        <v:fill on="f" focussize="0,0"/>
                        <v:stroke on="f"/>
                        <v:imagedata o:title=""/>
                        <o:lock v:ext="edit" aspectratio="f"/>
                        <v:textbox>
                          <w:txbxContent>
                            <w:p>
                              <w:r>
                                <w:rPr>
                                  <w:rFonts w:hint="eastAsia"/>
                                  <w:lang w:val="en-US" w:eastAsia="zh-CN"/>
                                </w:rPr>
                                <w:t>12.5</w:t>
                              </w:r>
                              <w:r>
                                <w:t>t/d</w:t>
                              </w:r>
                            </w:p>
                          </w:txbxContent>
                        </v:textbox>
                      </v:rect>
                      <w10:wrap type="none"/>
                      <w10:anchorlock/>
                    </v:group>
                  </w:pict>
                </mc:Fallback>
              </mc:AlternateContent>
            </w:r>
          </w:p>
          <w:p>
            <w:pPr>
              <w:widowControl/>
              <w:adjustRightInd w:val="0"/>
              <w:snapToGrid w:val="0"/>
              <w:spacing w:line="480" w:lineRule="exact"/>
              <w:jc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图2  项目蒸汽平衡图      （t/d）</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（10）厂区总平面布置</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本项目占地面积为11816m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厂区总体呈不规则形状，在厂区中部，从西往东，新建9座相同规格的生产车间（长×宽×高：30m×13m×6m）；原料储库位于厂区西侧，长×宽×高：30m×20m×6m；成品储库位于厂区东南侧，呈南北走向，长×宽×高：30m×30m×6m；一般工业固体废物暂存库位于厂区</w:t>
            </w:r>
            <w:r>
              <w:rPr>
                <w:rFonts w:hint="eastAsia" w:ascii="Times New Roman" w:hAnsi="Times New Roman" w:eastAsia="宋体" w:cs="Times New Roman"/>
                <w:sz w:val="24"/>
                <w:szCs w:val="24"/>
              </w:rPr>
              <w:t>北</w:t>
            </w:r>
            <w:r>
              <w:rPr>
                <w:rFonts w:ascii="Times New Roman" w:hAnsi="Times New Roman" w:eastAsia="宋体" w:cs="Times New Roman"/>
                <w:sz w:val="24"/>
                <w:szCs w:val="24"/>
              </w:rPr>
              <w:t>侧</w:t>
            </w:r>
            <w:r>
              <w:rPr>
                <w:rFonts w:hint="eastAsia" w:ascii="Times New Roman" w:hAnsi="Times New Roman" w:eastAsia="宋体" w:cs="Times New Roman"/>
                <w:sz w:val="24"/>
                <w:szCs w:val="24"/>
              </w:rPr>
              <w:t>，</w:t>
            </w:r>
            <w:r>
              <w:rPr>
                <w:rFonts w:ascii="Times New Roman" w:hAnsi="Times New Roman" w:eastAsia="宋体" w:cs="Times New Roman"/>
                <w:sz w:val="24"/>
                <w:szCs w:val="24"/>
              </w:rPr>
              <w:t>长×宽×高：20m×15m×6m；废水处理站位于厂区</w:t>
            </w:r>
            <w:r>
              <w:rPr>
                <w:rFonts w:hint="eastAsia" w:ascii="Times New Roman" w:hAnsi="Times New Roman" w:eastAsia="宋体" w:cs="Times New Roman"/>
                <w:sz w:val="24"/>
                <w:szCs w:val="24"/>
              </w:rPr>
              <w:t>东</w:t>
            </w:r>
            <w:r>
              <w:rPr>
                <w:rFonts w:ascii="Times New Roman" w:hAnsi="Times New Roman" w:eastAsia="宋体" w:cs="Times New Roman"/>
                <w:sz w:val="24"/>
                <w:szCs w:val="24"/>
              </w:rPr>
              <w:t>侧</w:t>
            </w:r>
            <w:r>
              <w:rPr>
                <w:rFonts w:hint="eastAsia" w:ascii="Times New Roman" w:hAnsi="Times New Roman" w:eastAsia="宋体" w:cs="Times New Roman"/>
                <w:sz w:val="24"/>
                <w:szCs w:val="24"/>
              </w:rPr>
              <w:t>，</w:t>
            </w:r>
            <w:r>
              <w:rPr>
                <w:rFonts w:ascii="Times New Roman" w:hAnsi="Times New Roman" w:eastAsia="宋体" w:cs="Times New Roman"/>
                <w:sz w:val="24"/>
                <w:szCs w:val="24"/>
              </w:rPr>
              <w:t>呈</w:t>
            </w:r>
            <w:r>
              <w:rPr>
                <w:rFonts w:hint="eastAsia" w:ascii="Times New Roman" w:hAnsi="Times New Roman" w:eastAsia="宋体" w:cs="Times New Roman"/>
                <w:sz w:val="24"/>
                <w:szCs w:val="24"/>
              </w:rPr>
              <w:t>南北</w:t>
            </w:r>
            <w:r>
              <w:rPr>
                <w:rFonts w:ascii="Times New Roman" w:hAnsi="Times New Roman" w:eastAsia="宋体" w:cs="Times New Roman"/>
                <w:sz w:val="24"/>
                <w:szCs w:val="24"/>
              </w:rPr>
              <w:t>走向</w:t>
            </w:r>
            <w:r>
              <w:rPr>
                <w:rFonts w:hint="eastAsia" w:ascii="Times New Roman" w:hAnsi="Times New Roman" w:eastAsia="宋体" w:cs="Times New Roman"/>
                <w:sz w:val="24"/>
                <w:szCs w:val="24"/>
              </w:rPr>
              <w:t>；</w:t>
            </w:r>
            <w:r>
              <w:rPr>
                <w:rFonts w:ascii="Times New Roman" w:hAnsi="Times New Roman" w:eastAsia="宋体" w:cs="Times New Roman"/>
                <w:sz w:val="24"/>
                <w:szCs w:val="24"/>
              </w:rPr>
              <w:t>应急储水池位于厂区东侧</w:t>
            </w:r>
            <w:r>
              <w:rPr>
                <w:rFonts w:hint="eastAsia" w:ascii="Times New Roman" w:hAnsi="Times New Roman" w:eastAsia="宋体" w:cs="Times New Roman"/>
                <w:sz w:val="24"/>
                <w:szCs w:val="24"/>
              </w:rPr>
              <w:t>；</w:t>
            </w:r>
            <w:r>
              <w:rPr>
                <w:rFonts w:ascii="Times New Roman" w:hAnsi="Times New Roman" w:eastAsia="宋体" w:cs="Times New Roman"/>
                <w:sz w:val="24"/>
                <w:szCs w:val="24"/>
              </w:rPr>
              <w:t>综合办公室位于厂区内东</w:t>
            </w:r>
            <w:r>
              <w:rPr>
                <w:rFonts w:hint="eastAsia" w:ascii="Times New Roman" w:hAnsi="Times New Roman" w:eastAsia="宋体" w:cs="Times New Roman"/>
                <w:sz w:val="24"/>
                <w:szCs w:val="24"/>
              </w:rPr>
              <w:t>南</w:t>
            </w:r>
            <w:r>
              <w:rPr>
                <w:rFonts w:ascii="Times New Roman" w:hAnsi="Times New Roman" w:eastAsia="宋体" w:cs="Times New Roman"/>
                <w:sz w:val="24"/>
                <w:szCs w:val="24"/>
              </w:rPr>
              <w:t>角，3层，长×宽×高：20m×10m×4m；食堂及宿舍位于厂区东南角，2层，长×宽×高：20m×10m×4m；厂区总平面布置图见附图3。</w:t>
            </w: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ascii="Times New Roman" w:hAnsi="Times New Roman" w:eastAsia="宋体" w:cs="Times New Roman"/>
                <w:sz w:val="24"/>
                <w:szCs w:val="24"/>
              </w:rPr>
            </w:pPr>
          </w:p>
          <w:p>
            <w:pPr>
              <w:widowControl/>
              <w:adjustRightInd w:val="0"/>
              <w:snapToGrid w:val="0"/>
              <w:spacing w:line="480" w:lineRule="exact"/>
              <w:ind w:firstLine="480" w:firstLineChars="200"/>
              <w:rPr>
                <w:rFonts w:hint="eastAsia" w:ascii="Times New Roman" w:hAnsi="Times New Roman" w:eastAsia="宋体" w:cs="Times New Roman"/>
                <w:color w:val="FF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工艺流程和产排污环节</w:t>
            </w:r>
          </w:p>
        </w:tc>
        <w:tc>
          <w:tcPr>
            <w:tcW w:w="9807" w:type="dxa"/>
            <w:tcBorders>
              <w:tl2br w:val="nil"/>
              <w:tr2bl w:val="nil"/>
            </w:tcBorders>
            <w:vAlign w:val="center"/>
          </w:tcPr>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本项目新建180条腐竹生产线，年产腐竹5000吨，其生产工艺流程及产污环节示意图见下图：</w:t>
            </w:r>
          </w:p>
          <w:p>
            <w:pPr>
              <w:widowControl/>
              <w:adjustRightInd w:val="0"/>
              <w:snapToGrid w:val="0"/>
              <w:spacing w:line="440" w:lineRule="atLeast"/>
              <w:ind w:firstLine="480" w:firstLineChars="200"/>
              <w:jc w:val="center"/>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eastAsia="zh-CN"/>
              </w:rPr>
              <w:drawing>
                <wp:anchor distT="0" distB="0" distL="114300" distR="114300" simplePos="0" relativeHeight="252098560" behindDoc="1" locked="0" layoutInCell="1" allowOverlap="1">
                  <wp:simplePos x="0" y="0"/>
                  <wp:positionH relativeFrom="column">
                    <wp:posOffset>463550</wp:posOffset>
                  </wp:positionH>
                  <wp:positionV relativeFrom="paragraph">
                    <wp:posOffset>7620</wp:posOffset>
                  </wp:positionV>
                  <wp:extent cx="5586095" cy="1950720"/>
                  <wp:effectExtent l="0" t="0" r="0" b="0"/>
                  <wp:wrapNone/>
                  <wp:docPr id="85" name="图片 8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片1"/>
                          <pic:cNvPicPr>
                            <a:picLocks noChangeAspect="1"/>
                          </pic:cNvPicPr>
                        </pic:nvPicPr>
                        <pic:blipFill>
                          <a:blip r:embed="rId13"/>
                          <a:stretch>
                            <a:fillRect/>
                          </a:stretch>
                        </pic:blipFill>
                        <pic:spPr>
                          <a:xfrm>
                            <a:off x="0" y="0"/>
                            <a:ext cx="5586095" cy="1950720"/>
                          </a:xfrm>
                          <a:prstGeom prst="rect">
                            <a:avLst/>
                          </a:prstGeom>
                        </pic:spPr>
                      </pic:pic>
                    </a:graphicData>
                  </a:graphic>
                </wp:anchor>
              </w:drawing>
            </w:r>
          </w:p>
          <w:p>
            <w:pPr>
              <w:pStyle w:val="2"/>
              <w:rPr>
                <w:rFonts w:hint="eastAsia" w:ascii="Times New Roman" w:hAnsi="Times New Roman" w:eastAsia="宋体" w:cs="Times New Roman"/>
                <w:color w:val="000000"/>
                <w:sz w:val="24"/>
                <w:szCs w:val="24"/>
                <w:lang w:eastAsia="zh-CN"/>
              </w:rPr>
            </w:pPr>
          </w:p>
          <w:p>
            <w:pPr>
              <w:pStyle w:val="2"/>
              <w:rPr>
                <w:rFonts w:ascii="Times New Roman" w:hAnsi="Times New Roman" w:eastAsia="宋体" w:cs="Times New Roman"/>
                <w:color w:val="000000"/>
                <w:sz w:val="24"/>
                <w:szCs w:val="24"/>
              </w:rPr>
            </w:pPr>
          </w:p>
          <w:p>
            <w:pPr>
              <w:pStyle w:val="2"/>
              <w:rPr>
                <w:rFonts w:ascii="Times New Roman" w:hAnsi="Times New Roman" w:eastAsia="宋体" w:cs="Times New Roman"/>
                <w:color w:val="000000"/>
                <w:sz w:val="24"/>
                <w:szCs w:val="24"/>
              </w:rPr>
            </w:pPr>
          </w:p>
          <w:p>
            <w:pPr>
              <w:widowControl/>
              <w:adjustRightInd w:val="0"/>
              <w:snapToGrid w:val="0"/>
              <w:spacing w:line="440" w:lineRule="atLeast"/>
              <w:ind w:firstLine="420" w:firstLineChars="200"/>
              <w:jc w:val="center"/>
              <w:rPr>
                <w:rFonts w:ascii="Times New Roman" w:hAnsi="Times New Roman" w:eastAsia="宋体" w:cs="Times New Roman"/>
                <w:bCs/>
                <w:szCs w:val="24"/>
              </w:rPr>
            </w:pPr>
          </w:p>
          <w:p>
            <w:pPr>
              <w:widowControl/>
              <w:adjustRightInd w:val="0"/>
              <w:snapToGrid w:val="0"/>
              <w:spacing w:line="440" w:lineRule="atLeast"/>
              <w:ind w:firstLine="420" w:firstLineChars="200"/>
              <w:jc w:val="center"/>
              <w:rPr>
                <w:rFonts w:ascii="Times New Roman" w:hAnsi="Times New Roman" w:eastAsia="宋体" w:cs="Times New Roman"/>
                <w:bCs/>
                <w:szCs w:val="24"/>
              </w:rPr>
            </w:pPr>
          </w:p>
          <w:p>
            <w:pPr>
              <w:widowControl/>
              <w:adjustRightInd w:val="0"/>
              <w:snapToGrid w:val="0"/>
              <w:spacing w:line="440" w:lineRule="atLeast"/>
              <w:ind w:firstLine="420" w:firstLineChars="200"/>
              <w:jc w:val="center"/>
              <w:rPr>
                <w:rFonts w:ascii="Times New Roman" w:hAnsi="Times New Roman" w:eastAsia="宋体" w:cs="Times New Roman"/>
                <w:szCs w:val="24"/>
              </w:rPr>
            </w:pPr>
            <w:r>
              <w:rPr>
                <w:rFonts w:ascii="Times New Roman" w:hAnsi="Times New Roman" w:eastAsia="宋体" w:cs="Times New Roman"/>
                <w:bCs/>
                <w:szCs w:val="24"/>
              </w:rPr>
              <w:t>图3  生产线工艺流程和产排污环节示意图</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具体工艺如下：</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1、清洗</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kern w:val="0"/>
                <w:sz w:val="24"/>
                <w:szCs w:val="24"/>
              </w:rPr>
              <w:t>将外购的优质大豆放入洗豆</w:t>
            </w:r>
            <w:r>
              <w:rPr>
                <w:rFonts w:hint="eastAsia" w:ascii="Times New Roman" w:hAnsi="Times New Roman" w:eastAsia="宋体" w:cs="Times New Roman"/>
                <w:kern w:val="0"/>
                <w:sz w:val="24"/>
                <w:szCs w:val="24"/>
                <w:lang w:val="en-US" w:eastAsia="zh-CN"/>
              </w:rPr>
              <w:t>池</w:t>
            </w:r>
            <w:r>
              <w:rPr>
                <w:rFonts w:ascii="Times New Roman" w:hAnsi="Times New Roman" w:eastAsia="宋体" w:cs="Times New Roman"/>
                <w:kern w:val="0"/>
                <w:sz w:val="24"/>
                <w:szCs w:val="24"/>
              </w:rPr>
              <w:t>中，料水比为</w:t>
            </w:r>
            <w:r>
              <w:rPr>
                <w:rFonts w:ascii="Times New Roman" w:hAnsi="Times New Roman" w:eastAsia="TimesNewRomanPSMT" w:cs="Times New Roman"/>
                <w:kern w:val="0"/>
                <w:sz w:val="24"/>
                <w:szCs w:val="24"/>
              </w:rPr>
              <w:t>1:1.5</w:t>
            </w:r>
            <w:r>
              <w:rPr>
                <w:rFonts w:ascii="Times New Roman" w:hAnsi="Times New Roman" w:eastAsia="宋体" w:cs="Times New Roman"/>
                <w:kern w:val="0"/>
                <w:sz w:val="24"/>
                <w:szCs w:val="24"/>
              </w:rPr>
              <w:t>，进行清洗。</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2、浸泡</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将精选大豆清洗后倒入浸泡池，向浸泡池中加水，使黄豆吸收水分膨胀。黄豆与浸泡用水量为1:2，浸泡后的黄豆水分在58%~62%左右，浸泡水pH为7~8。一般浸泡时间冬天为16～20h，春、秋季节8～12h，夏天为6h左右。</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3、磨浆</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用软管将浸泡后的黄豆通过泵抽送进入浆渣分离磨浆机中，此过程采用二次研磨工艺，一次研磨出的豆渣送入搅拌机中搅拌均匀后重新研磨，研磨时由磨浆机上方的加水口不断将新鲜水加入，当黄豆磨成极细的乳白色豆浆后，磨好的豆浆浓度控制在25%~30%。</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4、过滤</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磨好的豆浆通过浆渣分离磨浆机中100目~160目的滤布将豆渣与豆浆分离</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highlight w:val="none"/>
                <w:lang w:val="en-US" w:eastAsia="zh-CN"/>
              </w:rPr>
              <w:t>过滤方式为机械过滤</w:t>
            </w:r>
            <w:r>
              <w:rPr>
                <w:rFonts w:ascii="Times New Roman" w:hAnsi="Times New Roman" w:eastAsia="宋体" w:cs="Times New Roman"/>
                <w:sz w:val="24"/>
                <w:szCs w:val="24"/>
              </w:rPr>
              <w:t>，分离出来的豆渣蛋白质含量约为10%~12%，水分含量约为25%，豆渣营养价值较高，过滤后的豆渣存放至生产车间中放置的豆渣罐短暂储存后，当天即外售给养殖场。</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5</w:t>
            </w:r>
            <w:r>
              <w:rPr>
                <w:rFonts w:ascii="Times New Roman" w:hAnsi="Times New Roman" w:eastAsia="宋体" w:cs="Times New Roman"/>
                <w:sz w:val="24"/>
                <w:szCs w:val="24"/>
              </w:rPr>
              <w:t>、煮浆</w:t>
            </w:r>
          </w:p>
          <w:p>
            <w:pPr>
              <w:widowControl/>
              <w:adjustRightInd w:val="0"/>
              <w:snapToGrid w:val="0"/>
              <w:spacing w:line="440" w:lineRule="atLeast"/>
              <w:ind w:firstLine="480" w:firstLineChars="200"/>
              <w:rPr>
                <w:rFonts w:hint="eastAsia" w:ascii="Times New Roman" w:hAnsi="Times New Roman" w:eastAsia="宋体" w:cs="Times New Roman"/>
                <w:sz w:val="24"/>
                <w:szCs w:val="24"/>
                <w:lang w:val="en-US" w:eastAsia="zh-CN"/>
              </w:rPr>
            </w:pPr>
            <w:r>
              <w:rPr>
                <w:rFonts w:ascii="Times New Roman" w:hAnsi="Times New Roman" w:eastAsia="宋体" w:cs="Times New Roman"/>
                <w:sz w:val="24"/>
                <w:szCs w:val="24"/>
              </w:rPr>
              <w:t>经过滤后的生豆浆进入腐竹锅（煮浆锅）中，将蒸汽通入双层煮浆锅中空层中，利用宏光电厂</w:t>
            </w:r>
            <w:r>
              <w:rPr>
                <w:rFonts w:hint="eastAsia" w:ascii="Times New Roman" w:hAnsi="Times New Roman" w:eastAsia="宋体" w:cs="Times New Roman"/>
                <w:sz w:val="24"/>
                <w:szCs w:val="24"/>
                <w:lang w:val="en-US" w:eastAsia="zh-CN"/>
              </w:rPr>
              <w:t>通过管道</w:t>
            </w:r>
            <w:r>
              <w:rPr>
                <w:rFonts w:ascii="Times New Roman" w:hAnsi="Times New Roman" w:eastAsia="宋体" w:cs="Times New Roman"/>
                <w:sz w:val="24"/>
                <w:szCs w:val="24"/>
              </w:rPr>
              <w:t>提供的蒸汽（温度150~270℃，压力为0.3-0.8MPa）加热，达到煮浆的目的。煮浆温度93~100℃，蒸煮时间为30min。</w:t>
            </w:r>
            <w:r>
              <w:rPr>
                <w:rFonts w:hint="eastAsia" w:ascii="Times New Roman" w:hAnsi="Times New Roman" w:eastAsia="宋体" w:cs="Times New Roman"/>
                <w:sz w:val="24"/>
                <w:szCs w:val="24"/>
                <w:lang w:val="en-US" w:eastAsia="zh-CN"/>
              </w:rPr>
              <w:t>提供蒸汽的管道地上建设</w:t>
            </w:r>
            <w:r>
              <w:rPr>
                <w:rFonts w:hint="eastAsia" w:ascii="Times New Roman" w:hAnsi="Times New Roman" w:eastAsia="宋体" w:cs="Times New Roman"/>
                <w:sz w:val="24"/>
                <w:szCs w:val="24"/>
                <w:highlight w:val="none"/>
                <w:lang w:val="en-US" w:eastAsia="zh-CN"/>
              </w:rPr>
              <w:t>，长度约1.5km，内径0.3m，材质为无缝钢管</w:t>
            </w:r>
            <w:r>
              <w:rPr>
                <w:rFonts w:hint="eastAsia" w:ascii="Times New Roman" w:hAnsi="Times New Roman" w:eastAsia="宋体" w:cs="Times New Roman"/>
                <w:sz w:val="24"/>
                <w:szCs w:val="24"/>
                <w:lang w:val="en-US" w:eastAsia="zh-CN"/>
              </w:rPr>
              <w:t>。</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6</w:t>
            </w:r>
            <w:r>
              <w:rPr>
                <w:rFonts w:ascii="Times New Roman" w:hAnsi="Times New Roman" w:eastAsia="宋体" w:cs="Times New Roman"/>
                <w:sz w:val="24"/>
                <w:szCs w:val="24"/>
              </w:rPr>
              <w:t>、放浆过滤</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煮好的豆浆从煮浆锅放出到储罐，并在放浆过程中再次进行过滤，以保证豆浆质量，滤出来的细豆渣回用于煮浆过程。</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rPr>
              <w:t>、揭膜</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煮好的豆浆采用泵抽提至分浆桶，然后放入沾浆盒内，沾浆盒下部有夹层，夹层通入热蒸汽间接加热，加热后的蒸汽失去热量变为冷凝水经蒸汽管网回到电厂蒸汽锅炉回用，沾浆盒内浆液温度控制在80℃左右(在此温度下成型的腐竹色度最佳)，待豆浆凝结成金黄色薄膜后，一层层揭开，进行起皮，直至最终无法揭起。黏在</w:t>
            </w:r>
            <w:r>
              <w:rPr>
                <w:rFonts w:hint="eastAsia" w:ascii="Times New Roman" w:hAnsi="Times New Roman" w:eastAsia="宋体" w:cs="Times New Roman"/>
                <w:sz w:val="24"/>
                <w:szCs w:val="24"/>
              </w:rPr>
              <w:t>盒</w:t>
            </w:r>
            <w:r>
              <w:rPr>
                <w:rFonts w:ascii="Times New Roman" w:hAnsi="Times New Roman" w:eastAsia="宋体" w:cs="Times New Roman"/>
                <w:sz w:val="24"/>
                <w:szCs w:val="24"/>
              </w:rPr>
              <w:t>底的烂皮刷下来保留，和豆渣一起外售给养殖厂。起皮后的腐竹搭在晾晒架上。</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8</w:t>
            </w:r>
            <w:r>
              <w:rPr>
                <w:rFonts w:ascii="Times New Roman" w:hAnsi="Times New Roman" w:eastAsia="宋体" w:cs="Times New Roman"/>
                <w:sz w:val="24"/>
                <w:szCs w:val="24"/>
              </w:rPr>
              <w:t>、干燥</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将搭在晾晒架上的腐竹置于烘干室进行干燥，烘干室设有暖气片，热蒸汽通入暖气片间接加热使室内温度升高而达到干燥效果。烘干室温度控制在80℃左右。烘干至腐竹含水率为10%左右。</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9</w:t>
            </w:r>
            <w:r>
              <w:rPr>
                <w:rFonts w:ascii="Times New Roman" w:hAnsi="Times New Roman" w:eastAsia="宋体" w:cs="Times New Roman"/>
                <w:sz w:val="24"/>
                <w:szCs w:val="24"/>
              </w:rPr>
              <w:t>、检验</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质检后，完成腐竹的质量分级工作，按照色泽、长短进行质量分级</w:t>
            </w:r>
          </w:p>
          <w:p>
            <w:pPr>
              <w:widowControl/>
              <w:adjustRightInd w:val="0"/>
              <w:snapToGrid w:val="0"/>
              <w:spacing w:line="4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10</w:t>
            </w:r>
            <w:r>
              <w:rPr>
                <w:rFonts w:ascii="Times New Roman" w:hAnsi="Times New Roman" w:eastAsia="宋体" w:cs="Times New Roman"/>
                <w:sz w:val="24"/>
                <w:szCs w:val="24"/>
              </w:rPr>
              <w:t>、包装</w:t>
            </w:r>
          </w:p>
          <w:p>
            <w:pPr>
              <w:widowControl/>
              <w:adjustRightInd w:val="0"/>
              <w:snapToGrid w:val="0"/>
              <w:spacing w:line="440" w:lineRule="atLeast"/>
              <w:ind w:firstLine="480" w:firstLineChars="200"/>
              <w:rPr>
                <w:rFonts w:ascii="Times New Roman" w:hAnsi="Times New Roman" w:eastAsia="宋体" w:cs="Times New Roman"/>
                <w:color w:val="FF0000"/>
                <w:kern w:val="0"/>
                <w:sz w:val="24"/>
                <w:szCs w:val="24"/>
              </w:rPr>
            </w:pPr>
            <w:r>
              <w:rPr>
                <w:rFonts w:ascii="Times New Roman" w:hAnsi="Times New Roman" w:eastAsia="宋体" w:cs="Times New Roman"/>
                <w:sz w:val="24"/>
                <w:szCs w:val="24"/>
              </w:rPr>
              <w:t>包装人员按照腐竹的色泽、长短完成腐竹的质量分级，通过封口机进行包装封口，形成成品，进入成品库待售。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与项目有关的原有环境污染问题</w:t>
            </w:r>
          </w:p>
        </w:tc>
        <w:tc>
          <w:tcPr>
            <w:tcW w:w="9807" w:type="dxa"/>
            <w:tcBorders>
              <w:tl2br w:val="nil"/>
              <w:tr2bl w:val="nil"/>
            </w:tcBorders>
            <w:vAlign w:val="center"/>
          </w:tcPr>
          <w:p>
            <w:pPr>
              <w:autoSpaceDE w:val="0"/>
              <w:autoSpaceDN w:val="0"/>
              <w:spacing w:line="46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本项目为新建项目，现场踏勘期间，本项目还未开工建设，占地范围内地势平坦、地表土壤裸露且无任何建构筑物，</w:t>
            </w:r>
            <w:r>
              <w:rPr>
                <w:rFonts w:hint="eastAsia" w:ascii="Times New Roman" w:hAnsi="Times New Roman" w:eastAsia="宋体" w:cs="Times New Roman"/>
                <w:sz w:val="24"/>
                <w:szCs w:val="24"/>
              </w:rPr>
              <w:t>占地性质为建设用地，</w:t>
            </w:r>
            <w:r>
              <w:rPr>
                <w:rFonts w:ascii="Times New Roman" w:hAnsi="Times New Roman" w:eastAsia="宋体" w:cs="Times New Roman"/>
                <w:sz w:val="24"/>
                <w:szCs w:val="24"/>
              </w:rPr>
              <w:t>达到食品加工标准企业用地要求</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不涉及与项目有关的原有环境污染问题。</w:t>
            </w:r>
          </w:p>
          <w:p>
            <w:pPr>
              <w:autoSpaceDE w:val="0"/>
              <w:autoSpaceDN w:val="0"/>
              <w:spacing w:line="460" w:lineRule="exact"/>
              <w:rPr>
                <w:rFonts w:ascii="Times New Roman" w:hAnsi="Times New Roman" w:eastAsia="宋体" w:cs="Times New Roman"/>
                <w:color w:val="FF0000"/>
                <w:kern w:val="0"/>
                <w:sz w:val="24"/>
                <w:szCs w:val="24"/>
              </w:rPr>
            </w:pPr>
          </w:p>
        </w:tc>
      </w:tr>
    </w:tbl>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beforeLines="50" w:after="120" w:afterLines="50" w:line="240" w:lineRule="auto"/>
        <w:ind w:left="0" w:firstLine="0"/>
        <w:jc w:val="center"/>
        <w:rPr>
          <w:b w:val="0"/>
          <w:bCs w:val="0"/>
        </w:rPr>
      </w:pPr>
      <w:r>
        <w:rPr>
          <w:b w:val="0"/>
          <w:bCs w:val="0"/>
        </w:rPr>
        <w:t>三、区域环境质量现状、环境保护目标及评价标准</w:t>
      </w:r>
    </w:p>
    <w:tbl>
      <w:tblPr>
        <w:tblStyle w:val="21"/>
        <w:tblW w:w="102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9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63"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区域环境质量现状</w:t>
            </w:r>
          </w:p>
        </w:tc>
        <w:tc>
          <w:tcPr>
            <w:tcW w:w="9742" w:type="dxa"/>
            <w:tcBorders>
              <w:tl2br w:val="nil"/>
              <w:tr2bl w:val="nil"/>
            </w:tcBorders>
            <w:vAlign w:val="center"/>
          </w:tcPr>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1、环境空气质量现状</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w:t>
            </w:r>
            <w:r>
              <w:rPr>
                <w:rFonts w:hint="eastAsia" w:ascii="Times New Roman" w:hAnsi="Times New Roman" w:eastAsia="黑体" w:cs="Times New Roman"/>
                <w:bCs/>
                <w:snapToGrid w:val="0"/>
                <w:kern w:val="0"/>
                <w:szCs w:val="21"/>
              </w:rPr>
              <w:t>1</w:t>
            </w:r>
            <w:r>
              <w:rPr>
                <w:rFonts w:ascii="Times New Roman" w:hAnsi="Times New Roman" w:eastAsia="黑体" w:cs="Times New Roman"/>
                <w:bCs/>
                <w:snapToGrid w:val="0"/>
                <w:kern w:val="0"/>
                <w:szCs w:val="21"/>
              </w:rPr>
              <w:t xml:space="preserve">1  </w:t>
            </w:r>
            <w:r>
              <w:rPr>
                <w:rFonts w:hint="eastAsia" w:ascii="Times New Roman" w:hAnsi="Times New Roman" w:eastAsia="黑体" w:cs="Times New Roman"/>
                <w:bCs/>
                <w:snapToGrid w:val="0"/>
                <w:kern w:val="0"/>
                <w:szCs w:val="21"/>
              </w:rPr>
              <w:t>柳林</w:t>
            </w:r>
            <w:r>
              <w:rPr>
                <w:rFonts w:ascii="Times New Roman" w:hAnsi="Times New Roman" w:eastAsia="黑体" w:cs="Times New Roman"/>
                <w:bCs/>
                <w:snapToGrid w:val="0"/>
                <w:kern w:val="0"/>
                <w:szCs w:val="21"/>
              </w:rPr>
              <w:t>县20</w:t>
            </w:r>
            <w:r>
              <w:rPr>
                <w:rFonts w:hint="eastAsia" w:ascii="Times New Roman" w:hAnsi="Times New Roman" w:eastAsia="黑体" w:cs="Times New Roman"/>
                <w:bCs/>
                <w:snapToGrid w:val="0"/>
                <w:kern w:val="0"/>
                <w:szCs w:val="21"/>
              </w:rPr>
              <w:t>20</w:t>
            </w:r>
            <w:r>
              <w:rPr>
                <w:rFonts w:ascii="Times New Roman" w:hAnsi="Times New Roman" w:eastAsia="黑体" w:cs="Times New Roman"/>
                <w:bCs/>
                <w:snapToGrid w:val="0"/>
                <w:kern w:val="0"/>
                <w:szCs w:val="21"/>
              </w:rPr>
              <w:t>年环境空气质量例行监测结果一览表</w:t>
            </w:r>
          </w:p>
          <w:tbl>
            <w:tblPr>
              <w:tblStyle w:val="21"/>
              <w:tblW w:w="95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78"/>
              <w:gridCol w:w="2669"/>
              <w:gridCol w:w="1289"/>
              <w:gridCol w:w="1314"/>
              <w:gridCol w:w="1044"/>
              <w:gridCol w:w="1107"/>
              <w:gridCol w:w="10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监测项目</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平均时间</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浓度监测值</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浓度标准值</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占标率</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超标倍数</w:t>
                  </w:r>
                </w:p>
              </w:tc>
              <w:tc>
                <w:tcPr>
                  <w:tcW w:w="1080"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60μg/m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51.67%</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74"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4</w:t>
                  </w:r>
                  <w:r>
                    <w:rPr>
                      <w:rFonts w:ascii="Times New Roman" w:hAnsi="Times New Roman" w:eastAsia="宋体" w:cs="Times New Roman"/>
                      <w:szCs w:val="21"/>
                    </w:rPr>
                    <w:t>3μg/m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10</w:t>
                  </w:r>
                  <w:r>
                    <w:rPr>
                      <w:rFonts w:ascii="Times New Roman" w:hAnsi="Times New Roman" w:eastAsia="宋体" w:cs="Times New Roman"/>
                      <w:szCs w:val="21"/>
                    </w:rPr>
                    <w:t>7.50%</w:t>
                  </w:r>
                </w:p>
              </w:tc>
              <w:tc>
                <w:tcPr>
                  <w:tcW w:w="1107"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0.0</w:t>
                  </w:r>
                  <w:r>
                    <w:rPr>
                      <w:rFonts w:ascii="Times New Roman" w:hAnsi="Times New Roman" w:eastAsia="宋体" w:cs="Times New Roman"/>
                      <w:szCs w:val="21"/>
                    </w:rPr>
                    <w:t>8</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CO</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95%顺位24小时平均</w:t>
                  </w:r>
                </w:p>
              </w:tc>
              <w:tc>
                <w:tcPr>
                  <w:tcW w:w="1289"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mg/m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4mg/m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5</w:t>
                  </w:r>
                  <w:r>
                    <w:rPr>
                      <w:rFonts w:ascii="Times New Roman" w:hAnsi="Times New Roman" w:eastAsia="宋体" w:cs="Times New Roman"/>
                      <w:szCs w:val="21"/>
                    </w:rPr>
                    <w:t>0.00%</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90%顺位日最大8小时平均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141μg/m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160μg/m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88.13%</w:t>
                  </w:r>
                </w:p>
              </w:tc>
              <w:tc>
                <w:tcPr>
                  <w:tcW w:w="1107"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r>
                    <w:rPr>
                      <w:rFonts w:hint="eastAsia" w:ascii="Times New Roman" w:hAnsi="Times New Roman" w:eastAsia="宋体" w:cs="Times New Roman"/>
                      <w:szCs w:val="21"/>
                    </w:rPr>
                    <w:t>0</w:t>
                  </w:r>
                  <w:r>
                    <w:rPr>
                      <w:rFonts w:ascii="Times New Roman" w:hAnsi="Times New Roman" w:eastAsia="宋体" w:cs="Times New Roman"/>
                      <w:szCs w:val="21"/>
                    </w:rPr>
                    <w:t>1μg/m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70μg/m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44</w:t>
                  </w:r>
                  <w:r>
                    <w:rPr>
                      <w:rFonts w:hint="eastAsia" w:ascii="Times New Roman" w:hAnsi="Times New Roman" w:eastAsia="宋体" w:cs="Times New Roman"/>
                      <w:szCs w:val="21"/>
                    </w:rPr>
                    <w:t>.</w:t>
                  </w:r>
                  <w:r>
                    <w:rPr>
                      <w:rFonts w:ascii="Times New Roman" w:hAnsi="Times New Roman" w:eastAsia="宋体" w:cs="Times New Roman"/>
                      <w:szCs w:val="21"/>
                    </w:rPr>
                    <w:t>29%</w:t>
                  </w:r>
                </w:p>
              </w:tc>
              <w:tc>
                <w:tcPr>
                  <w:tcW w:w="1107"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44</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90" w:hRule="atLeast"/>
                <w:jc w:val="center"/>
              </w:trPr>
              <w:tc>
                <w:tcPr>
                  <w:tcW w:w="107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266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289"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37μg/m</w:t>
                  </w:r>
                  <w:r>
                    <w:rPr>
                      <w:rFonts w:ascii="Times New Roman" w:hAnsi="Times New Roman" w:eastAsia="宋体" w:cs="Times New Roman"/>
                      <w:szCs w:val="21"/>
                      <w:vertAlign w:val="superscript"/>
                    </w:rPr>
                    <w:t>3</w:t>
                  </w:r>
                </w:p>
              </w:tc>
              <w:tc>
                <w:tcPr>
                  <w:tcW w:w="1314"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35μg/m</w:t>
                  </w:r>
                  <w:r>
                    <w:rPr>
                      <w:rFonts w:ascii="Times New Roman" w:hAnsi="Times New Roman" w:eastAsia="宋体" w:cs="Times New Roman"/>
                      <w:szCs w:val="21"/>
                      <w:vertAlign w:val="superscript"/>
                    </w:rPr>
                    <w:t>3</w:t>
                  </w:r>
                </w:p>
              </w:tc>
              <w:tc>
                <w:tcPr>
                  <w:tcW w:w="1044"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05.71%</w:t>
                  </w:r>
                </w:p>
              </w:tc>
              <w:tc>
                <w:tcPr>
                  <w:tcW w:w="1107" w:type="dxa"/>
                  <w:vAlign w:val="center"/>
                </w:tcPr>
                <w:p>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06</w:t>
                  </w:r>
                </w:p>
              </w:tc>
              <w:tc>
                <w:tcPr>
                  <w:tcW w:w="1080"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超标</w:t>
                  </w:r>
                </w:p>
              </w:tc>
            </w:tr>
          </w:tbl>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由上表可知，本项目所在区域环境空气中NO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年平均浓度、PM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年平均浓度和PM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年平均浓度出现不同程度的超标现象，说明该区域属于环境空气质量不达标区，NO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浓度超标原因主要为燃油汽车尾气中的氮氧化物包括多种化合物，除一氧化二氮和二氧化氮以外，其他氮氧化物均不稳定，遇光、湿或热变成一氧化氮和二氧化氮，一氧化氮化学性质非常活泼，常温下与空气中的氧气发生反应生成二氧化氮；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浓度和PM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浓度超标原因主要为</w:t>
            </w:r>
            <w:r>
              <w:rPr>
                <w:rFonts w:hint="eastAsia" w:ascii="Times New Roman" w:hAnsi="Times New Roman" w:eastAsia="宋体" w:cs="Times New Roman"/>
                <w:sz w:val="24"/>
                <w:szCs w:val="24"/>
              </w:rPr>
              <w:t>柳林</w:t>
            </w:r>
            <w:r>
              <w:rPr>
                <w:rFonts w:ascii="Times New Roman" w:hAnsi="Times New Roman" w:eastAsia="宋体" w:cs="Times New Roman"/>
                <w:sz w:val="24"/>
                <w:szCs w:val="24"/>
              </w:rPr>
              <w:t>县地处我国北部地区，气候干旱，风沙较大。</w:t>
            </w:r>
          </w:p>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2、地表水环境质量现状</w:t>
            </w:r>
          </w:p>
          <w:p>
            <w:pPr>
              <w:widowControl/>
              <w:spacing w:line="480" w:lineRule="exact"/>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本项目所在地地表水水体为西北侧约</w:t>
            </w:r>
            <w:r>
              <w:rPr>
                <w:rFonts w:ascii="Times New Roman" w:hAnsi="Times New Roman" w:eastAsia="宋体" w:cs="Times New Roman"/>
                <w:sz w:val="24"/>
                <w:szCs w:val="24"/>
              </w:rPr>
              <w:t>680</w:t>
            </w:r>
            <w:r>
              <w:rPr>
                <w:rFonts w:ascii="Times New Roman" w:hAnsi="Times New Roman" w:eastAsia="宋体" w:cs="Times New Roman"/>
                <w:sz w:val="24"/>
                <w:szCs w:val="24"/>
                <w:lang w:val="zh-CN"/>
              </w:rPr>
              <w:t>m处的</w:t>
            </w:r>
            <w:r>
              <w:rPr>
                <w:rFonts w:hint="eastAsia" w:ascii="Times New Roman" w:hAnsi="Times New Roman" w:eastAsia="宋体" w:cs="Times New Roman"/>
                <w:sz w:val="24"/>
                <w:szCs w:val="24"/>
                <w:lang w:val="zh-CN"/>
              </w:rPr>
              <w:t>三川</w:t>
            </w:r>
            <w:r>
              <w:rPr>
                <w:rFonts w:ascii="Times New Roman" w:hAnsi="Times New Roman" w:eastAsia="宋体" w:cs="Times New Roman"/>
                <w:sz w:val="24"/>
                <w:szCs w:val="24"/>
                <w:lang w:val="zh-CN"/>
              </w:rPr>
              <w:t>河，</w:t>
            </w:r>
            <w:r>
              <w:rPr>
                <w:rFonts w:ascii="Times New Roman" w:hAnsi="Times New Roman" w:cs="Times New Roman"/>
                <w:sz w:val="24"/>
                <w:lang w:val="zh-CN"/>
              </w:rPr>
              <w:t>根据《山西省地表水环境功能区划》（</w:t>
            </w:r>
            <w:r>
              <w:rPr>
                <w:rFonts w:ascii="Times New Roman" w:hAnsi="Times New Roman" w:cs="Times New Roman"/>
                <w:sz w:val="24"/>
              </w:rPr>
              <w:t>DB14/67-2019</w:t>
            </w:r>
            <w:r>
              <w:rPr>
                <w:rFonts w:ascii="Times New Roman" w:hAnsi="Times New Roman" w:cs="Times New Roman"/>
                <w:sz w:val="24"/>
                <w:lang w:val="zh-CN"/>
              </w:rPr>
              <w:t>）表</w:t>
            </w:r>
            <w:r>
              <w:rPr>
                <w:rFonts w:ascii="Times New Roman" w:hAnsi="Times New Roman" w:cs="Times New Roman"/>
                <w:sz w:val="24"/>
              </w:rPr>
              <w:t>1</w:t>
            </w:r>
            <w:r>
              <w:rPr>
                <w:rFonts w:hint="eastAsia" w:ascii="Times New Roman" w:hAnsi="Times New Roman" w:cs="Times New Roman"/>
                <w:sz w:val="24"/>
              </w:rPr>
              <w:t>“</w:t>
            </w:r>
            <w:r>
              <w:rPr>
                <w:rFonts w:ascii="Times New Roman" w:hAnsi="Times New Roman" w:cs="Times New Roman"/>
                <w:sz w:val="24"/>
              </w:rPr>
              <w:t>山西省各河段水环境功能区划结果表</w:t>
            </w:r>
            <w:r>
              <w:rPr>
                <w:rFonts w:hint="eastAsia" w:ascii="Times New Roman" w:hAnsi="Times New Roman" w:cs="Times New Roman"/>
                <w:sz w:val="24"/>
              </w:rPr>
              <w:t>”</w:t>
            </w:r>
            <w:r>
              <w:rPr>
                <w:rFonts w:ascii="Times New Roman" w:hAnsi="Times New Roman" w:cs="Times New Roman"/>
                <w:sz w:val="24"/>
                <w:lang w:val="zh-CN"/>
              </w:rPr>
              <w:t>可知，</w:t>
            </w:r>
            <w:r>
              <w:rPr>
                <w:rFonts w:ascii="Times New Roman" w:hAnsi="Times New Roman" w:cs="Times New Roman"/>
                <w:sz w:val="24"/>
              </w:rPr>
              <w:t>该河段属于</w:t>
            </w:r>
            <w:r>
              <w:rPr>
                <w:rFonts w:hint="eastAsia" w:ascii="Times New Roman" w:hAnsi="Times New Roman" w:cs="Times New Roman"/>
                <w:sz w:val="24"/>
              </w:rPr>
              <w:t>“</w:t>
            </w:r>
            <w:r>
              <w:rPr>
                <w:rFonts w:ascii="Times New Roman" w:hAnsi="Times New Roman" w:cs="Times New Roman"/>
                <w:sz w:val="24"/>
              </w:rPr>
              <w:t>黄河</w:t>
            </w:r>
            <w:r>
              <w:rPr>
                <w:rFonts w:hint="eastAsia" w:ascii="Times New Roman" w:hAnsi="Times New Roman" w:cs="Times New Roman"/>
                <w:sz w:val="24"/>
              </w:rPr>
              <w:t>、吴堡-龙门区、黄河干流（西南部）、三川</w:t>
            </w:r>
            <w:r>
              <w:rPr>
                <w:rFonts w:ascii="Times New Roman" w:hAnsi="Times New Roman" w:cs="Times New Roman"/>
                <w:sz w:val="24"/>
              </w:rPr>
              <w:t>河</w:t>
            </w:r>
            <w:r>
              <w:rPr>
                <w:rFonts w:hint="eastAsia" w:ascii="Times New Roman" w:hAnsi="Times New Roman" w:cs="Times New Roman"/>
                <w:sz w:val="24"/>
              </w:rPr>
              <w:t>、</w:t>
            </w:r>
            <w:r>
              <w:rPr>
                <w:rFonts w:ascii="Times New Roman" w:hAnsi="Times New Roman" w:cs="Times New Roman"/>
                <w:sz w:val="24"/>
              </w:rPr>
              <w:t>薛村</w:t>
            </w:r>
            <w:r>
              <w:rPr>
                <w:rFonts w:hint="eastAsia" w:ascii="Times New Roman" w:hAnsi="Times New Roman" w:cs="Times New Roman"/>
                <w:snapToGrid w:val="0"/>
                <w:sz w:val="24"/>
              </w:rPr>
              <w:t>——</w:t>
            </w:r>
            <w:r>
              <w:rPr>
                <w:rFonts w:ascii="Times New Roman" w:hAnsi="Times New Roman" w:cs="Times New Roman"/>
                <w:sz w:val="24"/>
              </w:rPr>
              <w:t>入</w:t>
            </w:r>
            <w:r>
              <w:rPr>
                <w:rFonts w:hint="eastAsia" w:ascii="Times New Roman" w:hAnsi="Times New Roman" w:cs="Times New Roman"/>
                <w:sz w:val="24"/>
              </w:rPr>
              <w:t>黄河”</w:t>
            </w:r>
            <w:r>
              <w:rPr>
                <w:rFonts w:ascii="Times New Roman" w:hAnsi="Times New Roman" w:cs="Times New Roman"/>
                <w:sz w:val="24"/>
              </w:rPr>
              <w:t>段，水环境功能为农业用水保护，水质要求为Ⅴ类，</w:t>
            </w:r>
            <w:r>
              <w:rPr>
                <w:rFonts w:hint="eastAsia" w:ascii="Times New Roman" w:hAnsi="Times New Roman" w:eastAsia="宋体" w:cs="Times New Roman"/>
                <w:sz w:val="24"/>
                <w:szCs w:val="24"/>
              </w:rPr>
              <w:t>执行《地表水环境质量标准》（GB3838-2002）中Ⅴ类</w:t>
            </w:r>
            <w:r>
              <w:rPr>
                <w:sz w:val="24"/>
              </w:rPr>
              <w:t>标准</w:t>
            </w:r>
            <w:r>
              <w:rPr>
                <w:rFonts w:hint="eastAsia"/>
                <w:sz w:val="24"/>
              </w:rPr>
              <w:t>。根据“2021年</w:t>
            </w:r>
            <w:r>
              <w:rPr>
                <w:sz w:val="24"/>
              </w:rPr>
              <w:t>2</w:t>
            </w:r>
            <w:r>
              <w:rPr>
                <w:rFonts w:hint="eastAsia"/>
                <w:sz w:val="24"/>
              </w:rPr>
              <w:t>月山西省地表水环境质量报告”（来源：</w:t>
            </w:r>
            <w:r>
              <w:rPr>
                <w:rStyle w:val="19"/>
                <w:color w:val="000000"/>
              </w:rPr>
              <w:t>https://sthjt.shanxi.gov.cn/html/dbsszyb/20210330/106617.html</w:t>
            </w:r>
            <w:r>
              <w:rPr>
                <w:rFonts w:hint="eastAsia"/>
                <w:sz w:val="24"/>
              </w:rPr>
              <w:t>）可知，</w:t>
            </w:r>
            <w:r>
              <w:rPr>
                <w:sz w:val="24"/>
              </w:rPr>
              <w:t>该河段</w:t>
            </w:r>
            <w:r>
              <w:rPr>
                <w:rFonts w:hint="eastAsia" w:ascii="Times New Roman" w:hAnsi="Times New Roman" w:cs="Times New Roman"/>
                <w:sz w:val="24"/>
              </w:rPr>
              <w:t>位于</w:t>
            </w:r>
            <w:r>
              <w:rPr>
                <w:rFonts w:hint="eastAsia"/>
                <w:sz w:val="24"/>
              </w:rPr>
              <w:t>三川河寨东桥（柳林县）监控断面和三川河两河口桥（柳林县）监控断面之间，三川河寨东桥（柳林县）监控断面当月水质为I</w:t>
            </w:r>
            <w:r>
              <w:rPr>
                <w:sz w:val="24"/>
              </w:rPr>
              <w:t>II</w:t>
            </w:r>
            <w:r>
              <w:rPr>
                <w:rFonts w:hint="eastAsia"/>
                <w:sz w:val="24"/>
              </w:rPr>
              <w:t>类、三川河两河口桥（柳林县）监控断面当月水质为I</w:t>
            </w:r>
            <w:r>
              <w:rPr>
                <w:sz w:val="24"/>
              </w:rPr>
              <w:t>II</w:t>
            </w:r>
            <w:r>
              <w:rPr>
                <w:rFonts w:hint="eastAsia"/>
                <w:sz w:val="24"/>
              </w:rPr>
              <w:t>类，</w:t>
            </w:r>
            <w:r>
              <w:rPr>
                <w:rFonts w:hint="eastAsia" w:ascii="Times New Roman" w:hAnsi="Times New Roman" w:eastAsia="宋体" w:cs="Times New Roman"/>
                <w:sz w:val="24"/>
                <w:szCs w:val="24"/>
              </w:rPr>
              <w:t>满足</w:t>
            </w:r>
            <w:r>
              <w:rPr>
                <w:sz w:val="24"/>
              </w:rPr>
              <w:t>《地表水环境质量标准》（GB3838-2002）中</w:t>
            </w:r>
            <w:r>
              <w:rPr>
                <w:rFonts w:hint="eastAsia"/>
                <w:sz w:val="24"/>
              </w:rPr>
              <w:t>Ⅴ</w:t>
            </w:r>
            <w:r>
              <w:rPr>
                <w:sz w:val="24"/>
              </w:rPr>
              <w:t>类标准</w:t>
            </w:r>
            <w:r>
              <w:rPr>
                <w:rFonts w:ascii="Times New Roman" w:hAnsi="Times New Roman" w:eastAsia="宋体" w:cs="Times New Roman"/>
                <w:sz w:val="24"/>
                <w:szCs w:val="24"/>
                <w:lang w:val="zh-CN"/>
              </w:rPr>
              <w:t>。</w:t>
            </w:r>
          </w:p>
          <w:p>
            <w:pPr>
              <w:widowControl/>
              <w:spacing w:line="480" w:lineRule="exact"/>
              <w:ind w:firstLine="480" w:firstLineChars="200"/>
              <w:rPr>
                <w:rFonts w:ascii="Times New Roman" w:hAnsi="Times New Roman" w:eastAsia="宋体" w:cs="Times New Roman"/>
                <w:sz w:val="24"/>
                <w:szCs w:val="24"/>
                <w:lang w:val="en-US"/>
              </w:rPr>
            </w:pPr>
            <w:r>
              <w:rPr>
                <w:rFonts w:hint="eastAsia" w:ascii="Times New Roman" w:hAnsi="Times New Roman" w:eastAsia="宋体" w:cs="Times New Roman"/>
                <w:sz w:val="24"/>
                <w:szCs w:val="24"/>
                <w:lang w:val="en-US" w:eastAsia="zh-CN"/>
              </w:rPr>
              <w:t>本项目生产废水和生活污水经自建的污水处理站处理后，排入柳林县市政管网，最终进入柳林县污水处理厂进行处理，对地表水环境的影响甚微。</w:t>
            </w:r>
          </w:p>
          <w:p>
            <w:pPr>
              <w:adjustRightInd w:val="0"/>
              <w:snapToGrid w:val="0"/>
              <w:spacing w:line="48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3</w:t>
            </w:r>
            <w:r>
              <w:rPr>
                <w:rFonts w:ascii="Times New Roman" w:hAnsi="Times New Roman" w:eastAsia="宋体" w:cs="Times New Roman"/>
                <w:sz w:val="24"/>
                <w:szCs w:val="24"/>
              </w:rPr>
              <w:t>、地下水环境质量现状</w:t>
            </w:r>
          </w:p>
          <w:p>
            <w:pPr>
              <w:adjustRightInd w:val="0"/>
              <w:snapToGrid w:val="0"/>
              <w:spacing w:line="480" w:lineRule="exact"/>
              <w:ind w:firstLine="480" w:firstLineChars="200"/>
              <w:rPr>
                <w:rFonts w:ascii="Times New Roman" w:hAnsi="Times New Roman" w:cs="Times New Roman"/>
                <w:sz w:val="24"/>
              </w:rPr>
            </w:pPr>
            <w:r>
              <w:rPr>
                <w:sz w:val="24"/>
              </w:rPr>
              <w:t>本项目属于</w:t>
            </w:r>
            <w:r>
              <w:rPr>
                <w:rFonts w:hint="eastAsia"/>
                <w:sz w:val="24"/>
              </w:rPr>
              <w:t>豆制品加工项目，</w:t>
            </w:r>
            <w:r>
              <w:rPr>
                <w:sz w:val="24"/>
              </w:rPr>
              <w:t>根据《环境影响评价技术导则 地下水环境》（HJ610-2016）中附录</w:t>
            </w:r>
            <w:r>
              <w:rPr>
                <w:rFonts w:ascii="Times New Roman" w:hAnsi="Times New Roman" w:cs="Times New Roman"/>
                <w:sz w:val="24"/>
              </w:rPr>
              <w:t>A中的建设项目所属的地下水环境影响评价项目类别。</w:t>
            </w:r>
          </w:p>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cs="Times New Roman"/>
                <w:sz w:val="24"/>
              </w:rPr>
              <w:t>由附录A查找确定：本项目属于N轻工中107、其他食品制造-除手工制作和单纯分装外的。本项目属于</w:t>
            </w:r>
            <w:r>
              <w:rPr>
                <w:rFonts w:ascii="Times New Roman" w:hAnsi="Times New Roman" w:eastAsia="微软雅黑" w:cs="Times New Roman"/>
                <w:sz w:val="24"/>
              </w:rPr>
              <w:t>Ⅳ</w:t>
            </w:r>
            <w:r>
              <w:rPr>
                <w:rFonts w:ascii="Times New Roman" w:hAnsi="Times New Roman" w:cs="Times New Roman"/>
                <w:sz w:val="24"/>
              </w:rPr>
              <w:t>类建设项目，则本项目不开</w:t>
            </w:r>
            <w:r>
              <w:rPr>
                <w:sz w:val="24"/>
              </w:rPr>
              <w:t>展地下水环境影响评价</w:t>
            </w:r>
          </w:p>
          <w:p>
            <w:pPr>
              <w:widowControl/>
              <w:adjustRightInd w:val="0"/>
              <w:snapToGrid w:val="0"/>
              <w:spacing w:line="48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4、</w:t>
            </w:r>
            <w:r>
              <w:rPr>
                <w:rFonts w:ascii="Times New Roman" w:hAnsi="Times New Roman" w:eastAsia="宋体" w:cs="Times New Roman"/>
                <w:sz w:val="24"/>
                <w:szCs w:val="24"/>
              </w:rPr>
              <w:t>声环境质量现状</w:t>
            </w:r>
          </w:p>
          <w:p>
            <w:pPr>
              <w:adjustRightInd w:val="0"/>
              <w:spacing w:line="480" w:lineRule="exact"/>
              <w:ind w:firstLine="480" w:firstLineChars="200"/>
              <w:outlineLvl w:val="1"/>
              <w:rPr>
                <w:rFonts w:ascii="Times New Roman" w:hAnsi="Times New Roman" w:eastAsia="宋体" w:cs="Times New Roman"/>
                <w:kern w:val="0"/>
                <w:sz w:val="24"/>
                <w:szCs w:val="20"/>
              </w:rPr>
            </w:pPr>
            <w:r>
              <w:rPr>
                <w:rFonts w:ascii="Times New Roman" w:hAnsi="Times New Roman" w:eastAsia="宋体" w:cs="Times New Roman"/>
                <w:kern w:val="0"/>
                <w:sz w:val="24"/>
                <w:szCs w:val="20"/>
              </w:rPr>
              <w:t>本次评价委托</w:t>
            </w:r>
            <w:r>
              <w:rPr>
                <w:rFonts w:hint="eastAsia" w:ascii="Times New Roman" w:hAnsi="Times New Roman" w:eastAsia="宋体" w:cs="Times New Roman"/>
                <w:bCs/>
                <w:kern w:val="0"/>
                <w:sz w:val="24"/>
                <w:szCs w:val="20"/>
              </w:rPr>
              <w:t>山西嘉源环境检测有限公司</w:t>
            </w:r>
            <w:r>
              <w:rPr>
                <w:rFonts w:ascii="Times New Roman" w:hAnsi="Times New Roman" w:eastAsia="宋体" w:cs="Times New Roman"/>
                <w:kern w:val="0"/>
                <w:sz w:val="24"/>
                <w:szCs w:val="20"/>
              </w:rPr>
              <w:t>于2021年4月12日对项目厂区声环境质量进行了现状监测。监测点位分布见下图，根据监测报告本项目声质量现状见下表。</w:t>
            </w:r>
          </w:p>
          <w:p>
            <w:pPr>
              <w:adjustRightInd w:val="0"/>
              <w:spacing w:line="480" w:lineRule="exact"/>
              <w:ind w:firstLine="420" w:firstLineChars="200"/>
              <w:jc w:val="center"/>
              <w:outlineLvl w:val="1"/>
              <w:rPr>
                <w:rFonts w:ascii="Times New Roman" w:hAnsi="Times New Roman" w:eastAsia="宋体" w:cs="Times New Roman"/>
                <w:kern w:val="0"/>
                <w:sz w:val="24"/>
                <w:szCs w:val="20"/>
              </w:rPr>
            </w:pPr>
            <w:r>
              <w:rPr>
                <w:rFonts w:ascii="Times New Roman" w:hAnsi="Times New Roman" w:eastAsia="宋体" w:cs="Times New Roman"/>
                <w:kern w:val="0"/>
                <w:szCs w:val="21"/>
              </w:rPr>
              <w:t>表</w:t>
            </w:r>
            <w:r>
              <w:rPr>
                <w:rFonts w:hint="eastAsia" w:ascii="Times New Roman" w:hAnsi="Times New Roman" w:eastAsia="宋体" w:cs="Times New Roman"/>
                <w:kern w:val="0"/>
                <w:szCs w:val="21"/>
              </w:rPr>
              <w:t>1</w:t>
            </w:r>
            <w:r>
              <w:rPr>
                <w:rFonts w:ascii="Times New Roman" w:hAnsi="Times New Roman" w:eastAsia="宋体" w:cs="Times New Roman"/>
                <w:kern w:val="0"/>
                <w:szCs w:val="21"/>
              </w:rPr>
              <w:t>2  声环境质量现状监测结果一览表</w:t>
            </w:r>
          </w:p>
          <w:tbl>
            <w:tblPr>
              <w:tblStyle w:val="21"/>
              <w:tblW w:w="951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1359"/>
              <w:gridCol w:w="1359"/>
              <w:gridCol w:w="1359"/>
              <w:gridCol w:w="1359"/>
              <w:gridCol w:w="1361"/>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567" w:hRule="atLeast"/>
                <w:jc w:val="center"/>
              </w:trPr>
              <w:tc>
                <w:tcPr>
                  <w:tcW w:w="2717" w:type="dxa"/>
                  <w:gridSpan w:val="2"/>
                  <w:vAlign w:val="center"/>
                </w:tcPr>
                <w:p>
                  <w:pPr>
                    <w:snapToGrid w:val="0"/>
                    <w:jc w:val="center"/>
                    <w:rPr>
                      <w:rFonts w:ascii="Times New Roman" w:hAnsi="Times New Roman" w:cs="Times New Roman"/>
                      <w:b/>
                      <w:bCs/>
                      <w:szCs w:val="21"/>
                    </w:rPr>
                  </w:pPr>
                  <w:r>
                    <w:rPr>
                      <w:rFonts w:hint="eastAsia" w:ascii="Times New Roman" w:hAnsi="Times New Roman" w:cs="Times New Roman"/>
                      <w:b/>
                      <w:bCs/>
                      <w:szCs w:val="21"/>
                    </w:rPr>
                    <w:t>测试</w:t>
                  </w:r>
                  <w:r>
                    <w:rPr>
                      <w:rFonts w:ascii="Times New Roman" w:hAnsi="Times New Roman" w:cs="Times New Roman"/>
                      <w:b/>
                      <w:bCs/>
                      <w:szCs w:val="21"/>
                    </w:rPr>
                    <w:t>时间</w:t>
                  </w:r>
                </w:p>
              </w:tc>
              <w:tc>
                <w:tcPr>
                  <w:tcW w:w="6799" w:type="dxa"/>
                  <w:gridSpan w:val="5"/>
                  <w:vAlign w:val="center"/>
                </w:tcPr>
                <w:p>
                  <w:pPr>
                    <w:snapToGrid w:val="0"/>
                    <w:jc w:val="center"/>
                    <w:rPr>
                      <w:rFonts w:ascii="Times New Roman" w:hAnsi="Times New Roman" w:cs="Times New Roman"/>
                      <w:b/>
                      <w:bCs/>
                      <w:szCs w:val="21"/>
                    </w:rPr>
                  </w:pPr>
                  <w:r>
                    <w:rPr>
                      <w:rFonts w:ascii="Times New Roman" w:hAnsi="Times New Roman" w:cs="Times New Roman"/>
                    </w:rPr>
                    <w:t>2021.4.12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2717" w:type="dxa"/>
                  <w:gridSpan w:val="2"/>
                  <w:vAlign w:val="center"/>
                </w:tcPr>
                <w:p>
                  <w:pPr>
                    <w:snapToGrid w:val="0"/>
                    <w:jc w:val="center"/>
                    <w:rPr>
                      <w:rFonts w:ascii="Times New Roman" w:hAnsi="Times New Roman" w:cs="Times New Roman"/>
                      <w:b/>
                      <w:bCs/>
                      <w:szCs w:val="21"/>
                    </w:rPr>
                  </w:pPr>
                  <w:r>
                    <w:rPr>
                      <w:rFonts w:ascii="Times New Roman" w:hAnsi="Times New Roman" w:cs="Times New Roman"/>
                      <w:b/>
                      <w:bCs/>
                      <w:szCs w:val="21"/>
                    </w:rPr>
                    <w:t>监测点位</w:t>
                  </w:r>
                </w:p>
              </w:tc>
              <w:tc>
                <w:tcPr>
                  <w:tcW w:w="1359"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1</w:t>
                  </w:r>
                  <w:r>
                    <w:rPr>
                      <w:rFonts w:ascii="Times New Roman" w:hAnsi="Times New Roman" w:eastAsia="宋体" w:cs="Times New Roman"/>
                      <w:szCs w:val="21"/>
                      <w:vertAlign w:val="superscript"/>
                    </w:rPr>
                    <w:t>#</w:t>
                  </w:r>
                </w:p>
              </w:tc>
              <w:tc>
                <w:tcPr>
                  <w:tcW w:w="1359"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2</w:t>
                  </w:r>
                  <w:r>
                    <w:rPr>
                      <w:rFonts w:ascii="Times New Roman" w:hAnsi="Times New Roman" w:eastAsia="宋体" w:cs="Times New Roman"/>
                      <w:szCs w:val="21"/>
                      <w:vertAlign w:val="superscript"/>
                    </w:rPr>
                    <w:t>#</w:t>
                  </w:r>
                </w:p>
              </w:tc>
              <w:tc>
                <w:tcPr>
                  <w:tcW w:w="1359"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3</w:t>
                  </w:r>
                  <w:r>
                    <w:rPr>
                      <w:rFonts w:ascii="Times New Roman" w:hAnsi="Times New Roman" w:eastAsia="宋体" w:cs="Times New Roman"/>
                      <w:szCs w:val="21"/>
                      <w:vertAlign w:val="superscript"/>
                    </w:rPr>
                    <w:t>#</w:t>
                  </w:r>
                </w:p>
              </w:tc>
              <w:tc>
                <w:tcPr>
                  <w:tcW w:w="1361" w:type="dxa"/>
                  <w:vAlign w:val="center"/>
                </w:tcPr>
                <w:p>
                  <w:pPr>
                    <w:snapToGrid w:val="0"/>
                    <w:jc w:val="center"/>
                    <w:rPr>
                      <w:rFonts w:ascii="Times New Roman" w:hAnsi="Times New Roman" w:cs="Times New Roman"/>
                      <w:b/>
                      <w:bCs/>
                      <w:szCs w:val="21"/>
                    </w:rPr>
                  </w:pPr>
                  <w:r>
                    <w:rPr>
                      <w:rFonts w:hint="eastAsia" w:ascii="Times New Roman" w:hAnsi="Times New Roman" w:eastAsia="宋体" w:cs="Times New Roman"/>
                      <w:szCs w:val="21"/>
                    </w:rPr>
                    <w:t>0</w:t>
                  </w:r>
                  <w:r>
                    <w:rPr>
                      <w:rFonts w:ascii="Times New Roman" w:hAnsi="Times New Roman" w:eastAsia="宋体" w:cs="Times New Roman"/>
                      <w:szCs w:val="21"/>
                    </w:rPr>
                    <w:t>4</w:t>
                  </w:r>
                  <w:r>
                    <w:rPr>
                      <w:rFonts w:ascii="Times New Roman" w:hAnsi="Times New Roman" w:eastAsia="宋体" w:cs="Times New Roman"/>
                      <w:szCs w:val="21"/>
                      <w:vertAlign w:val="superscript"/>
                    </w:rPr>
                    <w:t>#</w:t>
                  </w:r>
                </w:p>
              </w:tc>
              <w:tc>
                <w:tcPr>
                  <w:tcW w:w="1361" w:type="dxa"/>
                  <w:vAlign w:val="center"/>
                </w:tcPr>
                <w:p>
                  <w:pPr>
                    <w:snapToGrid w:val="0"/>
                    <w:jc w:val="center"/>
                    <w:rPr>
                      <w:rFonts w:ascii="Times New Roman" w:hAnsi="Times New Roman" w:eastAsia="宋体" w:cs="Times New Roman"/>
                      <w:szCs w:val="21"/>
                    </w:rPr>
                  </w:pPr>
                  <w:r>
                    <w:rPr>
                      <w:rFonts w:ascii="Times New Roman" w:hAnsi="Times New Roman" w:cs="Times New Roman"/>
                      <w:b/>
                      <w:bCs/>
                      <w:szCs w:val="21"/>
                    </w:rPr>
                    <w:t>标准</w:t>
                  </w:r>
                  <w:r>
                    <w:rPr>
                      <w:rFonts w:hint="eastAsia" w:ascii="Times New Roman" w:hAnsi="Times New Roman" w:cs="Times New Roman"/>
                      <w:b/>
                      <w:bCs/>
                      <w:szCs w:val="21"/>
                    </w:rPr>
                    <w:t>限</w:t>
                  </w:r>
                  <w:r>
                    <w:rPr>
                      <w:rFonts w:ascii="Times New Roman" w:hAnsi="Times New Roman" w:cs="Times New Roman"/>
                      <w:b/>
                      <w:bCs/>
                      <w:szCs w:val="21"/>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58" w:type="dxa"/>
                  <w:vMerge w:val="restart"/>
                  <w:vAlign w:val="center"/>
                </w:tcPr>
                <w:p>
                  <w:pPr>
                    <w:jc w:val="center"/>
                    <w:rPr>
                      <w:rFonts w:ascii="Times New Roman" w:hAnsi="Times New Roman" w:eastAsia="宋体" w:cs="Times New Roman"/>
                      <w:szCs w:val="21"/>
                    </w:rPr>
                  </w:pPr>
                  <w:r>
                    <w:rPr>
                      <w:rFonts w:ascii="Times New Roman" w:hAnsi="Times New Roman" w:cs="Times New Roman"/>
                      <w:b/>
                      <w:bCs/>
                      <w:szCs w:val="21"/>
                    </w:rPr>
                    <w:t>L</w:t>
                  </w:r>
                  <w:r>
                    <w:rPr>
                      <w:rFonts w:ascii="Times New Roman" w:hAnsi="Times New Roman" w:cs="Times New Roman"/>
                      <w:b/>
                      <w:bCs/>
                      <w:szCs w:val="21"/>
                      <w:vertAlign w:val="subscript"/>
                    </w:rPr>
                    <w:t>eq</w:t>
                  </w:r>
                </w:p>
              </w:tc>
              <w:tc>
                <w:tcPr>
                  <w:tcW w:w="1359" w:type="dxa"/>
                  <w:vAlign w:val="center"/>
                </w:tcPr>
                <w:p>
                  <w:pPr>
                    <w:jc w:val="center"/>
                    <w:rPr>
                      <w:rFonts w:ascii="Times New Roman" w:hAnsi="Times New Roman" w:cs="Times New Roman"/>
                      <w:b/>
                      <w:bCs/>
                      <w:szCs w:val="21"/>
                    </w:rPr>
                  </w:pPr>
                  <w:r>
                    <w:rPr>
                      <w:rFonts w:ascii="Times New Roman" w:hAnsi="Times New Roman" w:cs="Times New Roman"/>
                      <w:b/>
                      <w:bCs/>
                      <w:szCs w:val="21"/>
                    </w:rPr>
                    <w:t>昼间</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57.1</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56.7</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57.9</w:t>
                  </w:r>
                </w:p>
              </w:tc>
              <w:tc>
                <w:tcPr>
                  <w:tcW w:w="1361"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57.6</w:t>
                  </w:r>
                </w:p>
              </w:tc>
              <w:tc>
                <w:tcPr>
                  <w:tcW w:w="136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58" w:type="dxa"/>
                  <w:vMerge w:val="continue"/>
                  <w:vAlign w:val="center"/>
                </w:tcPr>
                <w:p>
                  <w:pPr>
                    <w:jc w:val="center"/>
                    <w:rPr>
                      <w:rFonts w:ascii="Times New Roman" w:hAnsi="Times New Roman" w:eastAsia="宋体" w:cs="Times New Roman"/>
                      <w:szCs w:val="21"/>
                    </w:rPr>
                  </w:pPr>
                </w:p>
              </w:tc>
              <w:tc>
                <w:tcPr>
                  <w:tcW w:w="1359" w:type="dxa"/>
                  <w:vAlign w:val="center"/>
                </w:tcPr>
                <w:p>
                  <w:pPr>
                    <w:jc w:val="center"/>
                    <w:rPr>
                      <w:rFonts w:ascii="Times New Roman" w:hAnsi="Times New Roman" w:eastAsia="宋体" w:cs="Times New Roman"/>
                      <w:szCs w:val="21"/>
                    </w:rPr>
                  </w:pPr>
                  <w:r>
                    <w:rPr>
                      <w:rFonts w:ascii="Times New Roman" w:hAnsi="Times New Roman" w:cs="Times New Roman"/>
                      <w:b/>
                      <w:bCs/>
                      <w:szCs w:val="21"/>
                    </w:rPr>
                    <w:t>夜间</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47.1</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47.5</w:t>
                  </w:r>
                </w:p>
              </w:tc>
              <w:tc>
                <w:tcPr>
                  <w:tcW w:w="1359"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46.8</w:t>
                  </w:r>
                </w:p>
              </w:tc>
              <w:tc>
                <w:tcPr>
                  <w:tcW w:w="1361" w:type="dxa"/>
                  <w:vAlign w:val="center"/>
                </w:tcPr>
                <w:p>
                  <w:pPr>
                    <w:tabs>
                      <w:tab w:val="right" w:pos="8312"/>
                    </w:tabs>
                    <w:snapToGrid w:val="0"/>
                    <w:jc w:val="center"/>
                    <w:rPr>
                      <w:rFonts w:ascii="Times New Roman" w:hAnsi="Times New Roman" w:eastAsia="宋体" w:cs="Times New Roman"/>
                      <w:szCs w:val="21"/>
                    </w:rPr>
                  </w:pPr>
                  <w:r>
                    <w:rPr>
                      <w:rFonts w:hint="eastAsia" w:ascii="Times New Roman" w:hAnsi="Times New Roman" w:eastAsia="宋体" w:cs="Times New Roman"/>
                      <w:szCs w:val="21"/>
                    </w:rPr>
                    <w:t>47.6</w:t>
                  </w:r>
                </w:p>
              </w:tc>
              <w:tc>
                <w:tcPr>
                  <w:tcW w:w="136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50</w:t>
                  </w:r>
                </w:p>
              </w:tc>
            </w:tr>
          </w:tbl>
          <w:p>
            <w:pPr>
              <w:adjustRightInd w:val="0"/>
              <w:spacing w:line="360" w:lineRule="auto"/>
              <w:jc w:val="center"/>
              <w:outlineLvl w:val="1"/>
              <w:rPr>
                <w:rFonts w:ascii="Times New Roman" w:hAnsi="Times New Roman" w:eastAsia="宋体" w:cs="Times New Roman"/>
                <w:b/>
                <w:color w:val="000000"/>
                <w:kern w:val="0"/>
                <w:sz w:val="24"/>
                <w:szCs w:val="24"/>
                <w:highlight w:val="yellow"/>
              </w:rPr>
            </w:pPr>
            <w:r>
              <mc:AlternateContent>
                <mc:Choice Requires="wpc">
                  <w:drawing>
                    <wp:inline distT="0" distB="0" distL="114300" distR="114300">
                      <wp:extent cx="5274310" cy="2791460"/>
                      <wp:effectExtent l="0" t="0" r="0" b="0"/>
                      <wp:docPr id="142" name="画布 142"/>
                      <wp:cNvGraphicFramePr/>
                      <a:graphic xmlns:a="http://schemas.openxmlformats.org/drawingml/2006/main">
                        <a:graphicData uri="http://schemas.microsoft.com/office/word/2010/wordprocessingCanvas">
                          <wpc:wpc>
                            <wpc:bg/>
                            <wpc:whole/>
                            <wps:wsp>
                              <wps:cNvPr id="128" name="矩形 128"/>
                              <wps:cNvSpPr/>
                              <wps:spPr>
                                <a:xfrm>
                                  <a:off x="1625600" y="859790"/>
                                  <a:ext cx="2007870" cy="122999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文本框 129"/>
                              <wps:cNvSpPr txBox="1"/>
                              <wps:spPr>
                                <a:xfrm>
                                  <a:off x="2584450" y="624205"/>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04</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0" name="文本框 130"/>
                              <wps:cNvSpPr txBox="1"/>
                              <wps:spPr>
                                <a:xfrm>
                                  <a:off x="1163955" y="1314450"/>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03</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文本框 131"/>
                              <wps:cNvSpPr txBox="1"/>
                              <wps:spPr>
                                <a:xfrm>
                                  <a:off x="2658110" y="2070735"/>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02</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2" name="文本框 132"/>
                              <wps:cNvSpPr txBox="1"/>
                              <wps:spPr>
                                <a:xfrm>
                                  <a:off x="3723005" y="1278890"/>
                                  <a:ext cx="37338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01</w:t>
                                    </w:r>
                                    <w:r>
                                      <w:rPr>
                                        <w:rFonts w:hint="eastAsia"/>
                                        <w:vertAlign w:val="superscript"/>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等腰三角形 133"/>
                              <wps:cNvSpPr/>
                              <wps:spPr>
                                <a:xfrm>
                                  <a:off x="2505710" y="727075"/>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4" name="等腰三角形 134"/>
                              <wps:cNvSpPr/>
                              <wps:spPr>
                                <a:xfrm>
                                  <a:off x="1481455" y="1409700"/>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5" name="等腰三角形 135"/>
                              <wps:cNvSpPr/>
                              <wps:spPr>
                                <a:xfrm>
                                  <a:off x="2562225" y="2141855"/>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 name="等腰三角形 136"/>
                              <wps:cNvSpPr/>
                              <wps:spPr>
                                <a:xfrm>
                                  <a:off x="3667760" y="1381760"/>
                                  <a:ext cx="107950" cy="965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 name="直接箭头连接符 137"/>
                              <wps:cNvCnPr/>
                              <wps:spPr>
                                <a:xfrm flipH="1">
                                  <a:off x="4117340" y="586105"/>
                                  <a:ext cx="452755" cy="22225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8" name="文本框 138"/>
                              <wps:cNvSpPr txBox="1"/>
                              <wps:spPr>
                                <a:xfrm>
                                  <a:off x="4243705" y="624205"/>
                                  <a:ext cx="60452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东北风</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直接箭头连接符 139"/>
                              <wps:cNvCnPr/>
                              <wps:spPr>
                                <a:xfrm flipV="1">
                                  <a:off x="4942840" y="93980"/>
                                  <a:ext cx="7620" cy="404495"/>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0" name="直接连接符 140"/>
                              <wps:cNvCnPr/>
                              <wps:spPr>
                                <a:xfrm flipV="1">
                                  <a:off x="4800600" y="285115"/>
                                  <a:ext cx="277495" cy="762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 name="文本框 141"/>
                              <wps:cNvSpPr txBox="1"/>
                              <wps:spPr>
                                <a:xfrm>
                                  <a:off x="4926330" y="12700"/>
                                  <a:ext cx="32639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19.8pt;width:415.3pt;" coordsize="5274310,2791460" editas="canvas" o:gfxdata="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">
                      <o:lock v:ext="edit" aspectratio="f"/>
                      <v:shape id="_x0000_s1026" o:spid="_x0000_s1026" style="position:absolute;left:0;top:0;height:2791460;width:5274310;" filled="f" stroked="f" coordsize="21600,21600" o:gfxdata="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">
                        <v:fill on="f" focussize="0,0"/>
                        <v:stroke on="f"/>
                        <v:imagedata o:title=""/>
                        <o:lock v:ext="edit" aspectratio="f"/>
                      </v:shape>
                      <v:rect id="_x0000_s1026" o:spid="_x0000_s1026" o:spt="1" style="position:absolute;left:1625600;top:859790;height:1229995;width:2007870;v-text-anchor:middle;" filled="f" stroked="t" coordsize="21600,21600" o:gfxdata="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VIpnLVAAAA&#10;BQEAAA8AAAAAAAAAAQAgAAAAIgAAAGRycy9kb3ducmV2LnhtbFBLAQIUABQAAAAIAIdO4kBP0v2Q&#10;WQIAAIwEAAAOAAAAAAAAAAEAIAAAACQBAABkcnMvZTJvRG9jLnhtbFBLBQYAAAAABgAGAFkBAADv&#10;BQAAAAA=&#10;">
                        <v:fill on="f" focussize="0,0"/>
                        <v:stroke weight="0.25pt" color="#000000 [3213]" miterlimit="8" joinstyle="miter"/>
                        <v:imagedata o:title=""/>
                        <o:lock v:ext="edit" aspectratio="f"/>
                      </v:rect>
                      <v:shape id="_x0000_s1026" o:spid="_x0000_s1026" o:spt="202" type="#_x0000_t202" style="position:absolute;left:2584450;top:624205;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g7uvj2AAAAAUBAAAPAAAAAAAAAAEAIAAAACIAAABkcnMvZG93bnJldi54bWxQSwECFAAU&#10;AAAACACHTuJA8eADRyoCAAAmBAAADgAAAAAAAAABACAAAAAnAQAAZHJzL2Uyb0RvYy54bWxQSwUG&#10;AAAAAAYABgBZAQAAwwUAAAAA&#10;">
                        <v:fill on="f" focussize="0,0"/>
                        <v:stroke on="f" weight="0.5pt"/>
                        <v:imagedata o:title=""/>
                        <o:lock v:ext="edit" aspectratio="f"/>
                        <v:textbox>
                          <w:txbxContent>
                            <w:p>
                              <w:r>
                                <w:rPr>
                                  <w:rFonts w:hint="eastAsia"/>
                                </w:rPr>
                                <w:t>04</w:t>
                              </w:r>
                              <w:r>
                                <w:rPr>
                                  <w:rFonts w:hint="eastAsia"/>
                                  <w:vertAlign w:val="superscript"/>
                                </w:rPr>
                                <w:t>#</w:t>
                              </w:r>
                            </w:p>
                          </w:txbxContent>
                        </v:textbox>
                      </v:shape>
                      <v:shape id="_x0000_s1026" o:spid="_x0000_s1026" o:spt="202" type="#_x0000_t202" style="position:absolute;left:1163955;top:1314450;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O7r49gAAAAFAQAADwAAAAAAAAABACAAAAAiAAAAZHJzL2Rvd25yZXYueG1sUEsBAhQAFAAA&#10;AAgAh07iQCxbFIcoAgAAJwQAAA4AAAAAAAAAAQAgAAAAJwEAAGRycy9lMm9Eb2MueG1sUEsFBgAA&#10;AAAGAAYAWQEAAMEFAAAAAA==&#10;">
                        <v:fill on="f" focussize="0,0"/>
                        <v:stroke on="f" weight="0.5pt"/>
                        <v:imagedata o:title=""/>
                        <o:lock v:ext="edit" aspectratio="f"/>
                        <v:textbox>
                          <w:txbxContent>
                            <w:p>
                              <w:r>
                                <w:rPr>
                                  <w:rFonts w:hint="eastAsia"/>
                                </w:rPr>
                                <w:t>03</w:t>
                              </w:r>
                              <w:r>
                                <w:rPr>
                                  <w:rFonts w:hint="eastAsia"/>
                                  <w:vertAlign w:val="superscript"/>
                                </w:rPr>
                                <w:t>#</w:t>
                              </w:r>
                            </w:p>
                          </w:txbxContent>
                        </v:textbox>
                      </v:shape>
                      <v:shape id="_x0000_s1026" o:spid="_x0000_s1026" o:spt="202" type="#_x0000_t202" style="position:absolute;left:2658110;top:2070735;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Du6+PYAAAABQEAAA8AAAAAAAAAAQAgAAAAIgAAAGRycy9kb3ducmV2LnhtbFBLAQIUABQA&#10;AAAIAIdO4kDGBAk/KQIAACcEAAAOAAAAAAAAAAEAIAAAACcBAABkcnMvZTJvRG9jLnhtbFBLBQYA&#10;AAAABgAGAFkBAADCBQAAAAA=&#10;">
                        <v:fill on="f" focussize="0,0"/>
                        <v:stroke on="f" weight="0.5pt"/>
                        <v:imagedata o:title=""/>
                        <o:lock v:ext="edit" aspectratio="f"/>
                        <v:textbox>
                          <w:txbxContent>
                            <w:p>
                              <w:r>
                                <w:rPr>
                                  <w:rFonts w:hint="eastAsia"/>
                                </w:rPr>
                                <w:t>02</w:t>
                              </w:r>
                              <w:r>
                                <w:rPr>
                                  <w:rFonts w:hint="eastAsia"/>
                                  <w:vertAlign w:val="superscript"/>
                                </w:rPr>
                                <w:t>#</w:t>
                              </w:r>
                            </w:p>
                          </w:txbxContent>
                        </v:textbox>
                      </v:shape>
                      <v:shape id="_x0000_s1026" o:spid="_x0000_s1026" o:spt="202" type="#_x0000_t202" style="position:absolute;left:3723005;top:1278890;height:285750;width:37338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Du6+PYAAAABQEAAA8AAAAAAAAAAQAgAAAAIgAAAGRycy9kb3ducmV2LnhtbFBLAQIUABQA&#10;AAAIAIdO4kC+Oc1+KQIAACcEAAAOAAAAAAAAAAEAIAAAACcBAABkcnMvZTJvRG9jLnhtbFBLBQYA&#10;AAAABgAGAFkBAADCBQAAAAA=&#10;">
                        <v:fill on="f" focussize="0,0"/>
                        <v:stroke on="f" weight="0.5pt"/>
                        <v:imagedata o:title=""/>
                        <o:lock v:ext="edit" aspectratio="f"/>
                        <v:textbox>
                          <w:txbxContent>
                            <w:p>
                              <w:r>
                                <w:rPr>
                                  <w:rFonts w:hint="eastAsia"/>
                                </w:rPr>
                                <w:t>01</w:t>
                              </w:r>
                              <w:r>
                                <w:rPr>
                                  <w:rFonts w:hint="eastAsia"/>
                                  <w:vertAlign w:val="superscript"/>
                                </w:rPr>
                                <w:t>#</w:t>
                              </w:r>
                            </w:p>
                          </w:txbxContent>
                        </v:textbox>
                      </v:shape>
                      <v:shape id="_x0000_s1026" o:spid="_x0000_s1026" o:spt="5" type="#_x0000_t5" style="position:absolute;left:2505710;top:727075;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2lywR1gAAAAUBAAAPAAAAAAAAAAEAIAAAACIAAABkcnMv&#10;ZG93bnJldi54bWxQSwECFAAUAAAACACHTuJAn3stCHcCAADLBAAADgAAAAAAAAABACAAAAAlAQAA&#10;ZHJzL2Uyb0RvYy54bWxQSwUGAAAAAAYABgBZAQAADgYAA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1481455;top:1409700;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2lywR1gAAAAUBAAAPAAAAAAAAAAEAIAAAACIAAABkcnMvZG93&#10;bnJldi54bWxQSwECFAAUAAAACACHTuJAOu4ti3QCAADMBAAADgAAAAAAAAABACAAAAAlAQAAZHJz&#10;L2Uyb0RvYy54bWxQSwUGAAAAAAYABgBZAQAACwYAA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2562225;top:2141855;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pcsEdYAAAAFAQAADwAAAAAAAAABACAAAAAiAAAAZHJz&#10;L2Rvd25yZXYueG1sUEsBAhQAFAAAAAgAh07iQKrDd/J4AgAAzAQAAA4AAAAAAAAAAQAgAAAAJQEA&#10;AGRycy9lMm9Eb2MueG1sUEsFBgAAAAAGAAYAWQEAAA8GAAAAAA==&#10;" adj="10800">
                        <v:fill on="t" focussize="0,0"/>
                        <v:stroke weight="1pt" color="#000000 [3213]" miterlimit="8" joinstyle="miter"/>
                        <v:imagedata o:title=""/>
                        <o:lock v:ext="edit" aspectratio="f"/>
                        <v:textbox>
                          <w:txbxContent>
                            <w:p>
                              <w:pPr>
                                <w:jc w:val="center"/>
                              </w:pPr>
                            </w:p>
                          </w:txbxContent>
                        </v:textbox>
                      </v:shape>
                      <v:shape id="_x0000_s1026" o:spid="_x0000_s1026" o:spt="5" type="#_x0000_t5" style="position:absolute;left:3667760;top:1381760;height:96520;width:107950;v-text-anchor:middle;" fillcolor="#000000 [3213]" filled="t" stroked="t" coordsize="21600,21600" o:gfxdata="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aXLBHWAAAABQEAAA8AAAAAAAAAAQAgAAAAIgAAAGRycy9k&#10;b3ducmV2LnhtbFBLAQIUABQAAAAIAIdO4kBlMSV+dgIAAMwEAAAOAAAAAAAAAAEAIAAAACUBAABk&#10;cnMvZTJvRG9jLnhtbFBLBQYAAAAABgAGAFkBAAANBgAAAAA=&#10;" adj="10800">
                        <v:fill on="t" focussize="0,0"/>
                        <v:stroke weight="1pt" color="#000000 [3213]" miterlimit="8" joinstyle="miter"/>
                        <v:imagedata o:title=""/>
                        <o:lock v:ext="edit" aspectratio="f"/>
                        <v:textbox>
                          <w:txbxContent>
                            <w:p>
                              <w:pPr>
                                <w:jc w:val="center"/>
                              </w:pPr>
                            </w:p>
                          </w:txbxContent>
                        </v:textbox>
                      </v:shape>
                      <v:shape id="_x0000_s1026" o:spid="_x0000_s1026" o:spt="32" type="#_x0000_t32" style="position:absolute;left:4117340;top:586105;flip:x;height:222250;width:452755;" filled="f" stroked="t" coordsize="21600,21600" o:gfxdata="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VAEAbUAAAABQEAAA8AAAAAAAAAAQAgAAAAIgAAAGRycy9kb3ducmV2&#10;LnhtbFBLAQIUABQAAAAIAIdO4kC33ELDAAIAAK0DAAAOAAAAAAAAAAEAIAAAACMBAABkcnMvZTJv&#10;RG9jLnhtbFBLBQYAAAAABgAGAFkBAACVBQAAAAA=&#10;">
                        <v:fill on="f" focussize="0,0"/>
                        <v:stroke weight="0.25pt" color="#000000 [3213]" miterlimit="8" joinstyle="miter" endarrow="open"/>
                        <v:imagedata o:title=""/>
                        <o:lock v:ext="edit" aspectratio="f"/>
                      </v:shape>
                      <v:shape id="_x0000_s1026" o:spid="_x0000_s1026" o:spt="202" type="#_x0000_t202" style="position:absolute;left:4243705;top:624205;height:285750;width:60452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g7uvj2AAAAAUBAAAPAAAAAAAAAAEAIAAAACIAAABkcnMvZG93bnJldi54bWxQSwECFAAU&#10;AAAACACHTuJAHDE8GCoCAAAmBAAADgAAAAAAAAABACAAAAAnAQAAZHJzL2Uyb0RvYy54bWxQSwUG&#10;AAAAAAYABgBZAQAAwwUAAAAA&#10;">
                        <v:fill on="f" focussize="0,0"/>
                        <v:stroke on="f" weight="0.5pt"/>
                        <v:imagedata o:title=""/>
                        <o:lock v:ext="edit" aspectratio="f"/>
                        <v:textbox>
                          <w:txbxContent>
                            <w:p>
                              <w:r>
                                <w:rPr>
                                  <w:rFonts w:hint="eastAsia"/>
                                </w:rPr>
                                <w:t>东北风</w:t>
                              </w:r>
                            </w:p>
                          </w:txbxContent>
                        </v:textbox>
                      </v:shape>
                      <v:shape id="_x0000_s1026" o:spid="_x0000_s1026" o:spt="32" type="#_x0000_t32" style="position:absolute;left:4942840;top:93980;flip:y;height:404495;width:7620;" filled="f" stroked="t" coordsize="21600,21600" o:gfxdata="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tUAQBtQAAAAFAQAADwAAAAAAAAABACAAAAAiAAAAZHJzL2Rvd25yZXYu&#10;eG1sUEsBAhQAFAAAAAgAh07iQNTUCDj/AQAAqgMAAA4AAAAAAAAAAQAgAAAAIwEAAGRycy9lMm9E&#10;b2MueG1sUEsFBgAAAAAGAAYAWQEAAJQFAAAAAA==&#10;">
                        <v:fill on="f" focussize="0,0"/>
                        <v:stroke weight="0.25pt" color="#000000 [3213]" miterlimit="8" joinstyle="miter" endarrow="open"/>
                        <v:imagedata o:title=""/>
                        <o:lock v:ext="edit" aspectratio="f"/>
                      </v:shape>
                      <v:line id="_x0000_s1026" o:spid="_x0000_s1026" o:spt="20" style="position:absolute;left:4800600;top:285115;flip:y;height:7620;width:277495;" filled="f" stroked="t" coordsize="21600,21600" o:gfxdata="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o3sEgtgAAAAFAQAA&#10;DwAAAAAAAAABACAAAAAiAAAAZHJzL2Rvd25yZXYueG1sUEsBAhQAFAAAAAgAh07iQMp4c4XgAQAA&#10;fgMAAA4AAAAAAAAAAQAgAAAAJwEAAGRycy9lMm9Eb2MueG1sUEsFBgAAAAAGAAYAWQEAAHkFAAAA&#10;AA==&#10;">
                        <v:fill on="f" focussize="0,0"/>
                        <v:stroke weight="0.25pt" color="#000000 [3213]" miterlimit="8" joinstyle="miter"/>
                        <v:imagedata o:title=""/>
                        <o:lock v:ext="edit" aspectratio="f"/>
                      </v:line>
                      <v:shape id="_x0000_s1026" o:spid="_x0000_s1026" o:spt="202" type="#_x0000_t202" style="position:absolute;left:4926330;top:12700;height:269875;width:326390;" filled="f" stroked="f" coordsize="21600,21600" o:gfxdata="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g7uvj2AAAAAUBAAAPAAAAAAAAAAEAIAAAACIAAABkcnMvZG93bnJldi54bWxQSwECFAAUAAAA&#10;CACHTuJA7RZyUScCAAAlBAAADgAAAAAAAAABACAAAAAnAQAAZHJzL2Uyb0RvYy54bWxQSwUGAAAA&#10;AAYABgBZAQAAwAUAAAAA&#10;">
                        <v:fill on="f" focussize="0,0"/>
                        <v:stroke on="f" weight="0.5pt"/>
                        <v:imagedata o:title=""/>
                        <o:lock v:ext="edit" aspectratio="f"/>
                        <v:textbox>
                          <w:txbxContent>
                            <w:p>
                              <w:r>
                                <w:rPr>
                                  <w:rFonts w:hint="eastAsia"/>
                                </w:rPr>
                                <w:t>N</w:t>
                              </w:r>
                            </w:p>
                          </w:txbxContent>
                        </v:textbox>
                      </v:shape>
                      <w10:wrap type="none"/>
                      <w10:anchorlock/>
                    </v:group>
                  </w:pict>
                </mc:Fallback>
              </mc:AlternateContent>
            </w:r>
          </w:p>
          <w:p>
            <w:pPr>
              <w:jc w:val="center"/>
              <w:rPr>
                <w:rFonts w:ascii="Times New Roman" w:hAnsi="Times New Roman" w:eastAsia="宋体" w:cs="Times New Roman"/>
                <w:kern w:val="0"/>
                <w:szCs w:val="21"/>
              </w:rPr>
            </w:pPr>
            <w:r>
              <w:rPr>
                <w:rFonts w:ascii="Times New Roman" w:hAnsi="Times New Roman" w:eastAsia="宋体" w:cs="Times New Roman"/>
                <w:kern w:val="0"/>
                <w:szCs w:val="21"/>
              </w:rPr>
              <w:t>图4  声环境质量现状监测点位分布图</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bCs/>
                <w:kern w:val="0"/>
                <w:sz w:val="24"/>
                <w:szCs w:val="24"/>
              </w:rPr>
              <w:t>由上表可知，1#~4#监测点位昼间噪声值为56.7dB(A)~57.9dB(A)、夜间噪声值为46.8dB(A)~47.6dB(A)，说明本项目声环境现状均能达到《声环境质量标准》（GB3096-2008）中2类标准。</w:t>
            </w:r>
          </w:p>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5、土壤环境质量现状</w:t>
            </w:r>
          </w:p>
          <w:p>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w:t>
            </w:r>
            <w:r>
              <w:rPr>
                <w:rFonts w:ascii="Times New Roman" w:hAnsi="Times New Roman" w:eastAsia="宋体" w:cs="Times New Roman"/>
                <w:sz w:val="24"/>
                <w:szCs w:val="24"/>
              </w:rPr>
              <w:t>《</w:t>
            </w:r>
            <w:r>
              <w:rPr>
                <w:rFonts w:hint="eastAsia" w:ascii="Times New Roman" w:hAnsi="Times New Roman" w:eastAsia="宋体" w:cs="Times New Roman"/>
                <w:sz w:val="24"/>
                <w:szCs w:val="24"/>
              </w:rPr>
              <w:t>环境影响评价技术导则 土壤环境</w:t>
            </w:r>
            <w:r>
              <w:rPr>
                <w:rFonts w:ascii="Times New Roman" w:hAnsi="Times New Roman" w:eastAsia="宋体" w:cs="Times New Roman"/>
                <w:sz w:val="24"/>
                <w:szCs w:val="24"/>
              </w:rPr>
              <w:t>（试行）》（</w:t>
            </w:r>
            <w:r>
              <w:rPr>
                <w:rFonts w:hint="eastAsia" w:ascii="Times New Roman" w:hAnsi="Times New Roman" w:eastAsia="宋体" w:cs="Times New Roman"/>
                <w:sz w:val="24"/>
                <w:szCs w:val="24"/>
              </w:rPr>
              <w:t>HJ964</w:t>
            </w:r>
            <w:r>
              <w:rPr>
                <w:rFonts w:ascii="Times New Roman" w:hAnsi="Times New Roman" w:eastAsia="宋体" w:cs="Times New Roman"/>
                <w:sz w:val="24"/>
                <w:szCs w:val="24"/>
              </w:rPr>
              <w:t>-2018）</w:t>
            </w:r>
            <w:r>
              <w:rPr>
                <w:rFonts w:hint="eastAsia" w:ascii="Times New Roman" w:hAnsi="Times New Roman" w:eastAsia="宋体" w:cs="Times New Roman"/>
                <w:sz w:val="24"/>
                <w:szCs w:val="24"/>
              </w:rPr>
              <w:t>中附录A（规范性附录）土壤环境影响评价项目类别，表A.1 土壤环境影响评价项目类别，本项目属于Ⅳ类，Ⅳ类建设项目可不开展土壤环境影响评价。因此本项目不开展土壤环境影响评价。</w:t>
            </w:r>
          </w:p>
          <w:p>
            <w:pPr>
              <w:widowControl/>
              <w:adjustRightInd w:val="0"/>
              <w:snapToGrid w:val="0"/>
              <w:spacing w:line="48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6、</w:t>
            </w:r>
            <w:r>
              <w:rPr>
                <w:rFonts w:ascii="Times New Roman" w:hAnsi="Times New Roman" w:eastAsia="宋体" w:cs="Times New Roman"/>
                <w:sz w:val="24"/>
                <w:szCs w:val="24"/>
              </w:rPr>
              <w:t>生态环境质量现状</w:t>
            </w:r>
          </w:p>
          <w:p>
            <w:pPr>
              <w:widowControl/>
              <w:adjustRightInd w:val="0"/>
              <w:snapToGrid w:val="0"/>
              <w:spacing w:line="48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bCs/>
                <w:sz w:val="24"/>
                <w:szCs w:val="24"/>
              </w:rPr>
              <w:t>评价区属于典型的北方气候，干旱少雨，植被稀少，</w:t>
            </w:r>
            <w:r>
              <w:rPr>
                <w:rFonts w:ascii="Times New Roman" w:hAnsi="Times New Roman" w:eastAsia="宋体" w:cs="Times New Roman"/>
                <w:sz w:val="24"/>
                <w:szCs w:val="24"/>
              </w:rPr>
              <w:t>建设项目周围无水源地、文物保护对象和名胜风景区，生态环境质量一般。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4" w:hRule="atLeast"/>
          <w:jc w:val="center"/>
        </w:trPr>
        <w:tc>
          <w:tcPr>
            <w:tcW w:w="463"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环境保护目标</w:t>
            </w:r>
          </w:p>
        </w:tc>
        <w:tc>
          <w:tcPr>
            <w:tcW w:w="9742" w:type="dxa"/>
            <w:tcBorders>
              <w:tl2br w:val="nil"/>
              <w:tr2bl w:val="nil"/>
            </w:tcBorders>
            <w:vAlign w:val="center"/>
          </w:tcPr>
          <w:p>
            <w:pPr>
              <w:adjustRightInd w:val="0"/>
              <w:spacing w:before="120" w:beforeLines="50" w:line="360" w:lineRule="auto"/>
              <w:ind w:firstLine="480" w:firstLineChars="200"/>
              <w:rPr>
                <w:rFonts w:hint="eastAsia" w:ascii="Times New Roman" w:hAnsi="宋体" w:eastAsia="宋体" w:cs="Times New Roman"/>
                <w:kern w:val="0"/>
                <w:sz w:val="24"/>
                <w:szCs w:val="24"/>
              </w:rPr>
            </w:pPr>
            <w:r>
              <w:rPr>
                <w:rFonts w:ascii="Times New Roman" w:hAnsi="宋体" w:eastAsia="宋体" w:cs="Times New Roman"/>
                <w:kern w:val="0"/>
                <w:sz w:val="24"/>
                <w:szCs w:val="24"/>
              </w:rPr>
              <w:t>根据《建设项目环境影响评价分类管理名录》（国家环境保护部</w:t>
            </w:r>
            <w:r>
              <w:rPr>
                <w:rFonts w:ascii="Times New Roman" w:hAnsi="Times New Roman" w:eastAsia="宋体" w:cs="Times New Roman"/>
                <w:kern w:val="0"/>
                <w:sz w:val="24"/>
                <w:szCs w:val="24"/>
              </w:rPr>
              <w:t>20</w:t>
            </w:r>
            <w:r>
              <w:rPr>
                <w:rFonts w:hint="eastAsia" w:ascii="Times New Roman" w:hAnsi="Times New Roman" w:eastAsia="宋体" w:cs="Times New Roman"/>
                <w:kern w:val="0"/>
                <w:sz w:val="24"/>
                <w:szCs w:val="24"/>
                <w:lang w:val="en-US" w:eastAsia="zh-CN"/>
              </w:rPr>
              <w:t>21</w:t>
            </w:r>
            <w:r>
              <w:rPr>
                <w:rFonts w:ascii="Times New Roman" w:hAnsi="宋体" w:eastAsia="宋体" w:cs="Times New Roman"/>
                <w:kern w:val="0"/>
                <w:sz w:val="24"/>
                <w:szCs w:val="24"/>
              </w:rPr>
              <w:t>第</w:t>
            </w:r>
            <w:r>
              <w:rPr>
                <w:rFonts w:hint="eastAsia" w:ascii="Times New Roman" w:hAnsi="Times New Roman" w:eastAsia="宋体" w:cs="Times New Roman"/>
                <w:kern w:val="0"/>
                <w:sz w:val="24"/>
                <w:szCs w:val="24"/>
                <w:lang w:val="en-US" w:eastAsia="zh-CN"/>
              </w:rPr>
              <w:t>16</w:t>
            </w:r>
            <w:r>
              <w:rPr>
                <w:rFonts w:ascii="Times New Roman" w:hAnsi="宋体" w:eastAsia="宋体" w:cs="Times New Roman"/>
                <w:kern w:val="0"/>
                <w:sz w:val="24"/>
                <w:szCs w:val="24"/>
              </w:rPr>
              <w:t>号令，</w:t>
            </w:r>
            <w:r>
              <w:rPr>
                <w:rFonts w:ascii="Times New Roman" w:hAnsi="Times New Roman" w:eastAsia="宋体" w:cs="Times New Roman"/>
                <w:kern w:val="0"/>
                <w:sz w:val="24"/>
                <w:szCs w:val="24"/>
              </w:rPr>
              <w:t>20</w:t>
            </w:r>
            <w:r>
              <w:rPr>
                <w:rFonts w:hint="eastAsia" w:ascii="Times New Roman" w:hAnsi="Times New Roman" w:eastAsia="宋体" w:cs="Times New Roman"/>
                <w:kern w:val="0"/>
                <w:sz w:val="24"/>
                <w:szCs w:val="24"/>
                <w:lang w:val="en-US" w:eastAsia="zh-CN"/>
              </w:rPr>
              <w:t>21</w:t>
            </w:r>
            <w:r>
              <w:rPr>
                <w:rFonts w:ascii="Times New Roman" w:hAnsi="宋体" w:eastAsia="宋体" w:cs="Times New Roman"/>
                <w:kern w:val="0"/>
                <w:sz w:val="24"/>
                <w:szCs w:val="24"/>
              </w:rPr>
              <w:t>年</w:t>
            </w:r>
            <w:r>
              <w:rPr>
                <w:rFonts w:hint="eastAsia" w:ascii="Times New Roman" w:hAnsi="Times New Roman" w:eastAsia="宋体" w:cs="Times New Roman"/>
                <w:kern w:val="0"/>
                <w:sz w:val="24"/>
                <w:szCs w:val="24"/>
                <w:lang w:val="en-US" w:eastAsia="zh-CN"/>
              </w:rPr>
              <w:t>1</w:t>
            </w:r>
            <w:r>
              <w:rPr>
                <w:rFonts w:ascii="Times New Roman" w:hAnsi="宋体" w:eastAsia="宋体" w:cs="Times New Roman"/>
                <w:kern w:val="0"/>
                <w:sz w:val="24"/>
                <w:szCs w:val="24"/>
              </w:rPr>
              <w:t>月</w:t>
            </w:r>
            <w:r>
              <w:rPr>
                <w:rFonts w:ascii="Times New Roman" w:hAnsi="Times New Roman" w:eastAsia="宋体" w:cs="Times New Roman"/>
                <w:kern w:val="0"/>
                <w:sz w:val="24"/>
                <w:szCs w:val="24"/>
              </w:rPr>
              <w:t>1</w:t>
            </w:r>
            <w:r>
              <w:rPr>
                <w:rFonts w:ascii="Times New Roman" w:hAnsi="宋体" w:eastAsia="宋体" w:cs="Times New Roman"/>
                <w:kern w:val="0"/>
                <w:sz w:val="24"/>
                <w:szCs w:val="24"/>
              </w:rPr>
              <w:t>日起施行）</w:t>
            </w:r>
            <w:r>
              <w:rPr>
                <w:rFonts w:hint="eastAsia" w:ascii="Times New Roman" w:hAnsi="宋体" w:eastAsia="宋体" w:cs="Times New Roman"/>
                <w:kern w:val="0"/>
                <w:sz w:val="24"/>
                <w:szCs w:val="24"/>
                <w:lang w:val="en-US" w:eastAsia="zh-CN"/>
              </w:rPr>
              <w:t>中</w:t>
            </w:r>
            <w:r>
              <w:rPr>
                <w:rFonts w:ascii="Times New Roman" w:hAnsi="宋体" w:eastAsia="宋体" w:cs="Times New Roman"/>
                <w:kern w:val="0"/>
                <w:sz w:val="24"/>
                <w:szCs w:val="24"/>
              </w:rPr>
              <w:t>对环境敏感因素的界定原则，经过调查了解，评价区内没有文物保护单位和名胜古迹，无特殊的环境空气敏感因素，环境空气敏感目标主要为附近的村庄。为此，本次评价确定项目周边村庄为环境空气敏感点，作为社会环境关注区和人体健康关心区。项目地理位置及环境保护目标见附图</w:t>
            </w:r>
            <w:r>
              <w:rPr>
                <w:rFonts w:hint="eastAsia" w:ascii="Times New Roman" w:hAnsi="Times New Roman" w:eastAsia="宋体" w:cs="Times New Roman"/>
                <w:kern w:val="0"/>
                <w:sz w:val="24"/>
                <w:szCs w:val="24"/>
              </w:rPr>
              <w:t>4</w:t>
            </w:r>
            <w:r>
              <w:rPr>
                <w:rFonts w:ascii="Times New Roman" w:hAnsi="宋体" w:eastAsia="宋体" w:cs="Times New Roman"/>
                <w:kern w:val="0"/>
                <w:sz w:val="24"/>
                <w:szCs w:val="24"/>
              </w:rPr>
              <w:t>，主要环境保护目标见下表。</w:t>
            </w:r>
          </w:p>
          <w:p>
            <w:pPr>
              <w:jc w:val="center"/>
              <w:rPr>
                <w:rFonts w:hint="eastAsia" w:ascii="Times New Roman" w:hAnsi="Times New Roman" w:eastAsia="宋体" w:cs="Times New Roman"/>
                <w:kern w:val="0"/>
                <w:szCs w:val="21"/>
              </w:rPr>
            </w:pPr>
            <w:r>
              <w:rPr>
                <w:rFonts w:hint="eastAsia" w:ascii="Times New Roman" w:hAnsi="Times New Roman" w:eastAsia="宋体" w:cs="Times New Roman"/>
                <w:kern w:val="0"/>
                <w:szCs w:val="21"/>
              </w:rPr>
              <w:t>表1</w:t>
            </w:r>
            <w:r>
              <w:rPr>
                <w:rFonts w:ascii="Times New Roman" w:hAnsi="Times New Roman" w:eastAsia="宋体" w:cs="Times New Roman"/>
                <w:kern w:val="0"/>
                <w:szCs w:val="21"/>
              </w:rPr>
              <w:t xml:space="preserve">3   </w:t>
            </w:r>
            <w:r>
              <w:rPr>
                <w:rFonts w:hint="eastAsia" w:ascii="Times New Roman" w:hAnsi="Times New Roman" w:eastAsia="宋体" w:cs="Times New Roman"/>
                <w:kern w:val="0"/>
                <w:szCs w:val="21"/>
              </w:rPr>
              <w:t>环境保护目标表</w:t>
            </w:r>
          </w:p>
          <w:tbl>
            <w:tblPr>
              <w:tblStyle w:val="21"/>
              <w:tblW w:w="951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527"/>
              <w:gridCol w:w="849"/>
              <w:gridCol w:w="1557"/>
              <w:gridCol w:w="1420"/>
              <w:gridCol w:w="710"/>
              <w:gridCol w:w="1574"/>
              <w:gridCol w:w="2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序号</w:t>
                  </w:r>
                </w:p>
              </w:tc>
              <w:tc>
                <w:tcPr>
                  <w:tcW w:w="527"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环境要素</w:t>
                  </w:r>
                </w:p>
              </w:tc>
              <w:tc>
                <w:tcPr>
                  <w:tcW w:w="3826" w:type="dxa"/>
                  <w:gridSpan w:val="3"/>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环境保护目标</w:t>
                  </w:r>
                </w:p>
              </w:tc>
              <w:tc>
                <w:tcPr>
                  <w:tcW w:w="2284" w:type="dxa"/>
                  <w:gridSpan w:val="2"/>
                  <w:vAlign w:val="center"/>
                </w:tcPr>
                <w:p>
                  <w:pPr>
                    <w:spacing w:line="300" w:lineRule="exact"/>
                    <w:ind w:firstLine="210" w:firstLineChars="100"/>
                    <w:jc w:val="center"/>
                    <w:rPr>
                      <w:rFonts w:ascii="Times New Roman" w:hAnsi="Times New Roman" w:eastAsia="宋体" w:cs="Times New Roman"/>
                      <w:bCs/>
                      <w:szCs w:val="21"/>
                    </w:rPr>
                  </w:pPr>
                  <w:r>
                    <w:rPr>
                      <w:rFonts w:ascii="Times New Roman" w:hAnsi="Times New Roman" w:eastAsia="宋体" w:cs="Times New Roman"/>
                      <w:bCs/>
                      <w:szCs w:val="21"/>
                    </w:rPr>
                    <w:t>相对厂址位置</w:t>
                  </w:r>
                </w:p>
              </w:tc>
              <w:tc>
                <w:tcPr>
                  <w:tcW w:w="2423"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456" w:type="dxa"/>
                  <w:vMerge w:val="continue"/>
                  <w:vAlign w:val="center"/>
                </w:tcPr>
                <w:p>
                  <w:pPr>
                    <w:widowControl/>
                    <w:jc w:val="left"/>
                    <w:rPr>
                      <w:rFonts w:ascii="Times New Roman" w:hAnsi="Times New Roman" w:eastAsia="宋体" w:cs="Times New Roman"/>
                      <w:bCs/>
                      <w:szCs w:val="21"/>
                    </w:rPr>
                  </w:pPr>
                </w:p>
              </w:tc>
              <w:tc>
                <w:tcPr>
                  <w:tcW w:w="527" w:type="dxa"/>
                  <w:vMerge w:val="continue"/>
                  <w:vAlign w:val="center"/>
                </w:tcPr>
                <w:p>
                  <w:pPr>
                    <w:widowControl/>
                    <w:jc w:val="left"/>
                    <w:rPr>
                      <w:rFonts w:ascii="Times New Roman" w:hAnsi="Times New Roman" w:eastAsia="宋体" w:cs="Times New Roman"/>
                      <w:bCs/>
                      <w:szCs w:val="21"/>
                    </w:rPr>
                  </w:pPr>
                </w:p>
              </w:tc>
              <w:tc>
                <w:tcPr>
                  <w:tcW w:w="849" w:type="dxa"/>
                  <w:vMerge w:val="restart"/>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名称</w:t>
                  </w:r>
                </w:p>
              </w:tc>
              <w:tc>
                <w:tcPr>
                  <w:tcW w:w="2977" w:type="dxa"/>
                  <w:gridSpan w:val="2"/>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地理坐标</w:t>
                  </w:r>
                </w:p>
              </w:tc>
              <w:tc>
                <w:tcPr>
                  <w:tcW w:w="710"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方位</w:t>
                  </w:r>
                </w:p>
              </w:tc>
              <w:tc>
                <w:tcPr>
                  <w:tcW w:w="1574"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距离（m）</w:t>
                  </w:r>
                </w:p>
              </w:tc>
              <w:tc>
                <w:tcPr>
                  <w:tcW w:w="2423" w:type="dxa"/>
                  <w:vMerge w:val="continue"/>
                  <w:vAlign w:val="center"/>
                </w:tcPr>
                <w:p>
                  <w:pPr>
                    <w:spacing w:line="300" w:lineRule="exact"/>
                    <w:jc w:val="center"/>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 w:hRule="atLeast"/>
                <w:jc w:val="center"/>
              </w:trPr>
              <w:tc>
                <w:tcPr>
                  <w:tcW w:w="456" w:type="dxa"/>
                  <w:vMerge w:val="continue"/>
                  <w:vAlign w:val="center"/>
                </w:tcPr>
                <w:p>
                  <w:pPr>
                    <w:widowControl/>
                    <w:jc w:val="left"/>
                    <w:rPr>
                      <w:rFonts w:ascii="Times New Roman" w:hAnsi="Times New Roman" w:eastAsia="宋体" w:cs="Times New Roman"/>
                      <w:bCs/>
                      <w:szCs w:val="21"/>
                    </w:rPr>
                  </w:pPr>
                </w:p>
              </w:tc>
              <w:tc>
                <w:tcPr>
                  <w:tcW w:w="527" w:type="dxa"/>
                  <w:vMerge w:val="continue"/>
                  <w:vAlign w:val="center"/>
                </w:tcPr>
                <w:p>
                  <w:pPr>
                    <w:widowControl/>
                    <w:jc w:val="left"/>
                    <w:rPr>
                      <w:rFonts w:ascii="Times New Roman" w:hAnsi="Times New Roman" w:eastAsia="宋体" w:cs="Times New Roman"/>
                      <w:bCs/>
                      <w:szCs w:val="21"/>
                    </w:rPr>
                  </w:pPr>
                </w:p>
              </w:tc>
              <w:tc>
                <w:tcPr>
                  <w:tcW w:w="849" w:type="dxa"/>
                  <w:vMerge w:val="continue"/>
                  <w:vAlign w:val="center"/>
                </w:tcPr>
                <w:p>
                  <w:pPr>
                    <w:widowControl/>
                    <w:jc w:val="left"/>
                    <w:rPr>
                      <w:rFonts w:ascii="Times New Roman" w:hAnsi="Times New Roman" w:eastAsia="宋体" w:cs="Times New Roman"/>
                      <w:bCs/>
                      <w:szCs w:val="21"/>
                    </w:rPr>
                  </w:pPr>
                </w:p>
              </w:tc>
              <w:tc>
                <w:tcPr>
                  <w:tcW w:w="1557" w:type="dxa"/>
                  <w:vAlign w:val="center"/>
                </w:tcPr>
                <w:p>
                  <w:pPr>
                    <w:widowControl/>
                    <w:spacing w:line="320" w:lineRule="atLeast"/>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经度</w:t>
                  </w:r>
                  <w:r>
                    <w:rPr>
                      <w:rFonts w:hint="eastAsia" w:ascii="Times New Roman" w:hAnsi="Times New Roman" w:eastAsia="宋体" w:cs="Times New Roman"/>
                      <w:snapToGrid w:val="0"/>
                      <w:kern w:val="0"/>
                      <w:szCs w:val="21"/>
                    </w:rPr>
                    <w:t>（E）</w:t>
                  </w:r>
                </w:p>
              </w:tc>
              <w:tc>
                <w:tcPr>
                  <w:tcW w:w="1420" w:type="dxa"/>
                  <w:vAlign w:val="center"/>
                </w:tcPr>
                <w:p>
                  <w:pPr>
                    <w:widowControl/>
                    <w:spacing w:line="320" w:lineRule="atLeast"/>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纬度</w:t>
                  </w:r>
                  <w:r>
                    <w:rPr>
                      <w:rFonts w:hint="eastAsia" w:ascii="Times New Roman" w:hAnsi="Times New Roman" w:eastAsia="宋体" w:cs="Times New Roman"/>
                      <w:snapToGrid w:val="0"/>
                      <w:kern w:val="0"/>
                      <w:szCs w:val="21"/>
                    </w:rPr>
                    <w:t>（N）</w:t>
                  </w:r>
                </w:p>
              </w:tc>
              <w:tc>
                <w:tcPr>
                  <w:tcW w:w="710" w:type="dxa"/>
                  <w:vMerge w:val="continue"/>
                  <w:vAlign w:val="center"/>
                </w:tcPr>
                <w:p>
                  <w:pPr>
                    <w:widowControl/>
                    <w:jc w:val="left"/>
                    <w:rPr>
                      <w:rFonts w:ascii="Times New Roman" w:hAnsi="Times New Roman" w:eastAsia="宋体" w:cs="Times New Roman"/>
                      <w:bCs/>
                      <w:szCs w:val="21"/>
                    </w:rPr>
                  </w:pPr>
                </w:p>
              </w:tc>
              <w:tc>
                <w:tcPr>
                  <w:tcW w:w="1574" w:type="dxa"/>
                  <w:vMerge w:val="continue"/>
                  <w:vAlign w:val="center"/>
                </w:tcPr>
                <w:p>
                  <w:pPr>
                    <w:widowControl/>
                    <w:jc w:val="left"/>
                    <w:rPr>
                      <w:rFonts w:ascii="Times New Roman" w:hAnsi="Times New Roman" w:eastAsia="宋体" w:cs="Times New Roman"/>
                      <w:bCs/>
                      <w:szCs w:val="21"/>
                    </w:rPr>
                  </w:pPr>
                </w:p>
              </w:tc>
              <w:tc>
                <w:tcPr>
                  <w:tcW w:w="2423" w:type="dxa"/>
                  <w:vMerge w:val="continue"/>
                  <w:vAlign w:val="center"/>
                </w:tcPr>
                <w:p>
                  <w:pPr>
                    <w:widowControl/>
                    <w:jc w:val="left"/>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527"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环境空气</w:t>
                  </w:r>
                </w:p>
              </w:tc>
              <w:tc>
                <w:tcPr>
                  <w:tcW w:w="849"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安沟村</w:t>
                  </w:r>
                </w:p>
              </w:tc>
              <w:tc>
                <w:tcPr>
                  <w:tcW w:w="15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110°49′14.74″</w:t>
                  </w:r>
                </w:p>
              </w:tc>
              <w:tc>
                <w:tcPr>
                  <w:tcW w:w="142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37°24′54.01″</w:t>
                  </w:r>
                </w:p>
              </w:tc>
              <w:tc>
                <w:tcPr>
                  <w:tcW w:w="710"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N</w:t>
                  </w:r>
                </w:p>
              </w:tc>
              <w:tc>
                <w:tcPr>
                  <w:tcW w:w="157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2423" w:type="dxa"/>
                  <w:vMerge w:val="restart"/>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Merge w:val="continue"/>
                  <w:vAlign w:val="center"/>
                </w:tcPr>
                <w:p>
                  <w:pPr>
                    <w:spacing w:line="300" w:lineRule="exact"/>
                    <w:jc w:val="center"/>
                    <w:rPr>
                      <w:rFonts w:ascii="Times New Roman" w:hAnsi="Times New Roman" w:eastAsia="宋体" w:cs="Times New Roman"/>
                      <w:bCs/>
                      <w:szCs w:val="21"/>
                    </w:rPr>
                  </w:pPr>
                </w:p>
              </w:tc>
              <w:tc>
                <w:tcPr>
                  <w:tcW w:w="527" w:type="dxa"/>
                  <w:vMerge w:val="continue"/>
                  <w:vAlign w:val="center"/>
                </w:tcPr>
                <w:p>
                  <w:pPr>
                    <w:spacing w:line="300" w:lineRule="exact"/>
                    <w:jc w:val="center"/>
                    <w:rPr>
                      <w:rFonts w:ascii="Times New Roman" w:hAnsi="Times New Roman" w:eastAsia="宋体" w:cs="Times New Roman"/>
                      <w:bCs/>
                      <w:szCs w:val="21"/>
                    </w:rPr>
                  </w:pPr>
                </w:p>
              </w:tc>
              <w:tc>
                <w:tcPr>
                  <w:tcW w:w="849" w:type="dxa"/>
                  <w:vAlign w:val="center"/>
                </w:tcPr>
                <w:p>
                  <w:pPr>
                    <w:spacing w:line="300" w:lineRule="exact"/>
                    <w:jc w:val="center"/>
                    <w:rPr>
                      <w:rFonts w:hint="eastAsia" w:ascii="Times New Roman" w:hAnsi="Times New Roman" w:eastAsia="宋体" w:cs="Times New Roman"/>
                      <w:bCs/>
                      <w:szCs w:val="21"/>
                    </w:rPr>
                  </w:pPr>
                  <w:r>
                    <w:rPr>
                      <w:rFonts w:hint="eastAsia" w:ascii="Times New Roman" w:hAnsi="Times New Roman" w:eastAsia="宋体" w:cs="Times New Roman"/>
                      <w:bCs/>
                      <w:szCs w:val="21"/>
                    </w:rPr>
                    <w:t>焉哉村</w:t>
                  </w:r>
                </w:p>
              </w:tc>
              <w:tc>
                <w:tcPr>
                  <w:tcW w:w="15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110°48′51.95″</w:t>
                  </w:r>
                </w:p>
              </w:tc>
              <w:tc>
                <w:tcPr>
                  <w:tcW w:w="142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37°24′58.64″</w:t>
                  </w:r>
                </w:p>
              </w:tc>
              <w:tc>
                <w:tcPr>
                  <w:tcW w:w="710" w:type="dxa"/>
                  <w:vAlign w:val="center"/>
                </w:tcPr>
                <w:p>
                  <w:pPr>
                    <w:spacing w:line="300" w:lineRule="exact"/>
                    <w:jc w:val="center"/>
                    <w:rPr>
                      <w:rFonts w:hint="eastAsia"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W</w:t>
                  </w:r>
                </w:p>
              </w:tc>
              <w:tc>
                <w:tcPr>
                  <w:tcW w:w="1574" w:type="dxa"/>
                  <w:vAlign w:val="center"/>
                </w:tcPr>
                <w:p>
                  <w:pPr>
                    <w:spacing w:line="30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r>
                    <w:rPr>
                      <w:rFonts w:ascii="Times New Roman" w:hAnsi="Times New Roman" w:eastAsia="宋体" w:cs="Times New Roman"/>
                      <w:szCs w:val="21"/>
                    </w:rPr>
                    <w:t>000</w:t>
                  </w:r>
                </w:p>
              </w:tc>
              <w:tc>
                <w:tcPr>
                  <w:tcW w:w="2423" w:type="dxa"/>
                  <w:vMerge w:val="continue"/>
                  <w:vAlign w:val="center"/>
                </w:tcPr>
                <w:p>
                  <w:pPr>
                    <w:spacing w:line="300" w:lineRule="exact"/>
                    <w:jc w:val="center"/>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456" w:type="dxa"/>
                  <w:vMerge w:val="continue"/>
                  <w:vAlign w:val="center"/>
                </w:tcPr>
                <w:p>
                  <w:pPr>
                    <w:widowControl/>
                    <w:jc w:val="left"/>
                    <w:rPr>
                      <w:rFonts w:ascii="Times New Roman" w:hAnsi="Times New Roman" w:eastAsia="宋体" w:cs="Times New Roman"/>
                      <w:bCs/>
                      <w:szCs w:val="21"/>
                    </w:rPr>
                  </w:pPr>
                </w:p>
              </w:tc>
              <w:tc>
                <w:tcPr>
                  <w:tcW w:w="527" w:type="dxa"/>
                  <w:vMerge w:val="continue"/>
                  <w:vAlign w:val="center"/>
                </w:tcPr>
                <w:p>
                  <w:pPr>
                    <w:widowControl/>
                    <w:jc w:val="left"/>
                    <w:rPr>
                      <w:rFonts w:ascii="Times New Roman" w:hAnsi="Times New Roman" w:eastAsia="宋体" w:cs="Times New Roman"/>
                      <w:bCs/>
                      <w:szCs w:val="21"/>
                    </w:rPr>
                  </w:pPr>
                </w:p>
              </w:tc>
              <w:tc>
                <w:tcPr>
                  <w:tcW w:w="849"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穆村</w:t>
                  </w:r>
                </w:p>
              </w:tc>
              <w:tc>
                <w:tcPr>
                  <w:tcW w:w="155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110°50′16.31″</w:t>
                  </w:r>
                </w:p>
              </w:tc>
              <w:tc>
                <w:tcPr>
                  <w:tcW w:w="142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37°25′6.44″</w:t>
                  </w:r>
                </w:p>
              </w:tc>
              <w:tc>
                <w:tcPr>
                  <w:tcW w:w="710"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NE</w:t>
                  </w:r>
                </w:p>
              </w:tc>
              <w:tc>
                <w:tcPr>
                  <w:tcW w:w="157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1080</w:t>
                  </w:r>
                </w:p>
              </w:tc>
              <w:tc>
                <w:tcPr>
                  <w:tcW w:w="2423" w:type="dxa"/>
                  <w:vMerge w:val="continue"/>
                  <w:vAlign w:val="center"/>
                </w:tcPr>
                <w:p>
                  <w:pPr>
                    <w:widowControl/>
                    <w:jc w:val="left"/>
                    <w:rPr>
                      <w:rFonts w:ascii="Times New Roman" w:hAnsi="Times New Roman" w:eastAsia="宋体"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2</w:t>
                  </w:r>
                </w:p>
              </w:tc>
              <w:tc>
                <w:tcPr>
                  <w:tcW w:w="52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地下水</w:t>
                  </w:r>
                </w:p>
              </w:tc>
              <w:tc>
                <w:tcPr>
                  <w:tcW w:w="6110" w:type="dxa"/>
                  <w:gridSpan w:val="5"/>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厂区周边水井及浅层地下水</w:t>
                  </w:r>
                </w:p>
              </w:tc>
              <w:tc>
                <w:tcPr>
                  <w:tcW w:w="2423"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《地下水质量标准》（GB/T14848-2017）Ⅲ类标准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3</w:t>
                  </w:r>
                </w:p>
              </w:tc>
              <w:tc>
                <w:tcPr>
                  <w:tcW w:w="52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地表水</w:t>
                  </w:r>
                </w:p>
              </w:tc>
              <w:tc>
                <w:tcPr>
                  <w:tcW w:w="6110" w:type="dxa"/>
                  <w:gridSpan w:val="5"/>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三川河</w:t>
                  </w:r>
                </w:p>
              </w:tc>
              <w:tc>
                <w:tcPr>
                  <w:tcW w:w="2423"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《地表水环境质量标准》（GB3838-2002）中</w:t>
                  </w:r>
                  <w:r>
                    <w:rPr>
                      <w:rFonts w:hint="eastAsia" w:ascii="Times New Roman" w:hAnsi="Times New Roman" w:eastAsia="宋体" w:cs="Times New Roman"/>
                      <w:bCs/>
                      <w:szCs w:val="21"/>
                    </w:rPr>
                    <w:t>Ⅴ</w:t>
                  </w:r>
                  <w:r>
                    <w:rPr>
                      <w:rFonts w:ascii="Times New Roman" w:hAnsi="Times New Roman" w:eastAsia="宋体" w:cs="Times New Roman"/>
                      <w:bCs/>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4</w:t>
                  </w:r>
                </w:p>
              </w:tc>
              <w:tc>
                <w:tcPr>
                  <w:tcW w:w="52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声环境</w:t>
                  </w:r>
                </w:p>
              </w:tc>
              <w:tc>
                <w:tcPr>
                  <w:tcW w:w="6110" w:type="dxa"/>
                  <w:gridSpan w:val="5"/>
                  <w:vAlign w:val="center"/>
                </w:tcPr>
                <w:p>
                  <w:pPr>
                    <w:spacing w:line="300" w:lineRule="exact"/>
                    <w:jc w:val="center"/>
                    <w:rPr>
                      <w:rFonts w:hint="eastAsia" w:ascii="Times New Roman" w:hAnsi="Times New Roman" w:eastAsia="宋体" w:cs="Times New Roman"/>
                      <w:szCs w:val="24"/>
                    </w:rPr>
                  </w:pPr>
                  <w:r>
                    <w:rPr>
                      <w:rFonts w:hint="eastAsia" w:ascii="Times New Roman" w:hAnsi="Times New Roman" w:eastAsia="宋体" w:cs="Times New Roman"/>
                      <w:szCs w:val="24"/>
                    </w:rPr>
                    <w:t>厂区范围</w:t>
                  </w:r>
                </w:p>
              </w:tc>
              <w:tc>
                <w:tcPr>
                  <w:tcW w:w="2423"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52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土壤</w:t>
                  </w:r>
                </w:p>
              </w:tc>
              <w:tc>
                <w:tcPr>
                  <w:tcW w:w="6110" w:type="dxa"/>
                  <w:gridSpan w:val="5"/>
                  <w:vAlign w:val="center"/>
                </w:tcPr>
                <w:p>
                  <w:pPr>
                    <w:autoSpaceDE w:val="0"/>
                    <w:autoSpaceDN w:val="0"/>
                    <w:adjustRightInd w:val="0"/>
                    <w:jc w:val="center"/>
                    <w:rPr>
                      <w:rFonts w:ascii="Times New Roman" w:hAnsi="Times New Roman" w:eastAsia="宋体" w:cs="Times New Roman"/>
                      <w:szCs w:val="24"/>
                    </w:rPr>
                  </w:pPr>
                  <w:r>
                    <w:rPr>
                      <w:rFonts w:hint="eastAsia" w:ascii="Times New Roman" w:hAnsi="Times New Roman" w:eastAsia="宋体" w:cs="Times New Roman"/>
                      <w:szCs w:val="24"/>
                    </w:rPr>
                    <w:t>厂</w:t>
                  </w:r>
                  <w:r>
                    <w:rPr>
                      <w:rFonts w:ascii="Times New Roman" w:hAnsi="Times New Roman" w:eastAsia="宋体" w:cs="Times New Roman"/>
                      <w:szCs w:val="24"/>
                    </w:rPr>
                    <w:t>区范围内</w:t>
                  </w:r>
                </w:p>
              </w:tc>
              <w:tc>
                <w:tcPr>
                  <w:tcW w:w="2423" w:type="dxa"/>
                  <w:vAlign w:val="center"/>
                </w:tcPr>
                <w:p>
                  <w:pPr>
                    <w:spacing w:line="30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《土壤环境质量建设用地土壤污染风险管控标准（试行）》（GB36600-2018）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56"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6</w:t>
                  </w:r>
                </w:p>
              </w:tc>
              <w:tc>
                <w:tcPr>
                  <w:tcW w:w="527"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生态</w:t>
                  </w:r>
                </w:p>
              </w:tc>
              <w:tc>
                <w:tcPr>
                  <w:tcW w:w="6110" w:type="dxa"/>
                  <w:gridSpan w:val="5"/>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bCs/>
                      <w:szCs w:val="21"/>
                    </w:rPr>
                    <w:t>项目周边农田、动植物</w:t>
                  </w:r>
                </w:p>
              </w:tc>
              <w:tc>
                <w:tcPr>
                  <w:tcW w:w="2423" w:type="dxa"/>
                  <w:vAlign w:val="center"/>
                </w:tcPr>
                <w:p>
                  <w:pPr>
                    <w:spacing w:line="300" w:lineRule="exact"/>
                    <w:jc w:val="center"/>
                    <w:rPr>
                      <w:rFonts w:ascii="Times New Roman" w:hAnsi="Times New Roman" w:eastAsia="宋体" w:cs="Times New Roman"/>
                      <w:bCs/>
                      <w:szCs w:val="21"/>
                    </w:rPr>
                  </w:pPr>
                  <w:r>
                    <w:rPr>
                      <w:rFonts w:ascii="Times New Roman" w:hAnsi="Times New Roman" w:eastAsia="宋体" w:cs="Times New Roman"/>
                      <w:kern w:val="0"/>
                      <w:szCs w:val="21"/>
                    </w:rPr>
                    <w:t>防止水土流失、</w:t>
                  </w:r>
                  <w:r>
                    <w:rPr>
                      <w:rFonts w:ascii="Times New Roman" w:hAnsi="Times New Roman" w:eastAsia="宋体" w:cs="Times New Roman"/>
                      <w:szCs w:val="21"/>
                    </w:rPr>
                    <w:t>保持良好生态环境</w:t>
                  </w:r>
                </w:p>
              </w:tc>
            </w:tr>
          </w:tbl>
          <w:p>
            <w:pPr>
              <w:widowControl/>
              <w:adjustRightInd w:val="0"/>
              <w:snapToGrid w:val="0"/>
              <w:spacing w:line="480" w:lineRule="exact"/>
              <w:ind w:firstLine="480" w:firstLineChars="200"/>
              <w:rPr>
                <w:rFonts w:ascii="Times New Roman" w:hAnsi="Times New Roman" w:eastAsia="宋体" w:cs="Times New Roman"/>
                <w:color w:val="FF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63" w:type="dxa"/>
            <w:tcBorders>
              <w:tl2br w:val="nil"/>
              <w:tr2bl w:val="nil"/>
            </w:tcBorders>
            <w:tcMar>
              <w:left w:w="28" w:type="dxa"/>
              <w:right w:w="28" w:type="dxa"/>
            </w:tcMar>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污染物排放控制标准</w:t>
            </w:r>
          </w:p>
        </w:tc>
        <w:tc>
          <w:tcPr>
            <w:tcW w:w="9742" w:type="dxa"/>
            <w:tcBorders>
              <w:tl2br w:val="nil"/>
              <w:tr2bl w:val="nil"/>
            </w:tcBorders>
            <w:vAlign w:val="center"/>
          </w:tcPr>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1、废气</w:t>
            </w:r>
          </w:p>
          <w:p>
            <w:pPr>
              <w:spacing w:line="400" w:lineRule="atLeas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污水处理站 NH</w:t>
            </w:r>
            <w:r>
              <w:rPr>
                <w:rFonts w:ascii="Times New Roman" w:hAnsi="Times New Roman" w:eastAsia="宋体" w:cs="Times New Roman"/>
                <w:kern w:val="0"/>
                <w:sz w:val="24"/>
                <w:szCs w:val="24"/>
                <w:vertAlign w:val="subscript"/>
              </w:rPr>
              <w:t>3</w:t>
            </w:r>
            <w:r>
              <w:rPr>
                <w:rFonts w:ascii="Times New Roman" w:hAnsi="Times New Roman" w:eastAsia="宋体" w:cs="Times New Roman"/>
                <w:kern w:val="0"/>
                <w:sz w:val="24"/>
                <w:szCs w:val="24"/>
              </w:rPr>
              <w:t>、H</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S 执行《恶臭大气污染物排放标准》（GB14544-93）中标准要求。具体见表。</w:t>
            </w:r>
          </w:p>
          <w:p>
            <w:pPr>
              <w:adjustRightInd w:val="0"/>
              <w:snapToGrid w:val="0"/>
              <w:spacing w:line="240" w:lineRule="atLeast"/>
              <w:jc w:val="center"/>
              <w:rPr>
                <w:rFonts w:ascii="Times New Roman" w:hAnsi="Times New Roman" w:eastAsia="宋体" w:cs="Times New Roman"/>
                <w:b/>
                <w:bCs/>
                <w:kern w:val="0"/>
                <w:sz w:val="24"/>
                <w:szCs w:val="24"/>
                <w:lang w:val="zh-CN" w:bidi="zh-CN"/>
              </w:rPr>
            </w:pPr>
            <w:r>
              <w:rPr>
                <w:rFonts w:ascii="Times New Roman" w:hAnsi="Times New Roman" w:eastAsia="宋体" w:cs="Times New Roman"/>
                <w:bCs/>
                <w:color w:val="000000"/>
                <w:kern w:val="0"/>
                <w:szCs w:val="21"/>
              </w:rPr>
              <w:t>表14</w:t>
            </w:r>
            <w:r>
              <w:rPr>
                <w:rFonts w:ascii="Times New Roman" w:hAnsi="Times New Roman" w:eastAsia="宋体" w:cs="Times New Roman"/>
                <w:bCs/>
                <w:color w:val="000000"/>
                <w:kern w:val="0"/>
                <w:szCs w:val="21"/>
              </w:rPr>
              <w:tab/>
            </w:r>
            <w:r>
              <w:rPr>
                <w:rFonts w:ascii="Times New Roman" w:hAnsi="Times New Roman" w:eastAsia="宋体" w:cs="Times New Roman"/>
                <w:bCs/>
                <w:color w:val="000000"/>
                <w:kern w:val="0"/>
                <w:szCs w:val="21"/>
              </w:rPr>
              <w:t>恶臭大气污染物排放标准</w:t>
            </w:r>
          </w:p>
          <w:tbl>
            <w:tblPr>
              <w:tblStyle w:val="21"/>
              <w:tblW w:w="951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7"/>
              <w:gridCol w:w="2088"/>
              <w:gridCol w:w="2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4767" w:type="dxa"/>
                  <w:vMerge w:val="restart"/>
                  <w:vAlign w:val="center"/>
                </w:tcPr>
                <w:p>
                  <w:pPr>
                    <w:autoSpaceDE w:val="0"/>
                    <w:autoSpaceDN w:val="0"/>
                    <w:spacing w:before="1" w:line="244" w:lineRule="auto"/>
                    <w:ind w:left="179" w:right="139" w:hanging="32"/>
                    <w:jc w:val="left"/>
                    <w:rPr>
                      <w:rFonts w:ascii="Times New Roman" w:hAnsi="Times New Roman" w:eastAsia="宋体" w:cs="Times New Roman"/>
                      <w:kern w:val="0"/>
                      <w:lang w:val="zh-CN" w:bidi="zh-CN"/>
                    </w:rPr>
                  </w:pPr>
                  <w:r>
                    <w:rPr>
                      <w:rFonts w:ascii="Times New Roman" w:hAnsi="Times New Roman" w:eastAsia="宋体" w:cs="Times New Roman"/>
                      <w:kern w:val="0"/>
                      <w:lang w:val="zh-CN" w:bidi="zh-CN"/>
                    </w:rPr>
                    <w:t>《恶臭大气污染物排放标准》（</w:t>
                  </w:r>
                  <w:r>
                    <w:rPr>
                      <w:rFonts w:ascii="Times New Roman" w:hAnsi="Times New Roman" w:eastAsia="Times New Roman" w:cs="Times New Roman"/>
                      <w:kern w:val="0"/>
                      <w:lang w:val="zh-CN" w:bidi="zh-CN"/>
                    </w:rPr>
                    <w:t>GB14544-93</w:t>
                  </w:r>
                  <w:r>
                    <w:rPr>
                      <w:rFonts w:ascii="Times New Roman" w:hAnsi="Times New Roman" w:eastAsia="宋体" w:cs="Times New Roman"/>
                      <w:kern w:val="0"/>
                      <w:lang w:val="zh-CN" w:bidi="zh-CN"/>
                    </w:rPr>
                    <w:t>）</w:t>
                  </w:r>
                </w:p>
              </w:tc>
              <w:tc>
                <w:tcPr>
                  <w:tcW w:w="2088" w:type="dxa"/>
                  <w:vAlign w:val="center"/>
                </w:tcPr>
                <w:p>
                  <w:pPr>
                    <w:autoSpaceDE w:val="0"/>
                    <w:autoSpaceDN w:val="0"/>
                    <w:spacing w:before="137"/>
                    <w:ind w:left="202" w:right="173"/>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污染物</w:t>
                  </w:r>
                </w:p>
              </w:tc>
              <w:tc>
                <w:tcPr>
                  <w:tcW w:w="2661" w:type="dxa"/>
                  <w:vAlign w:val="center"/>
                </w:tcPr>
                <w:p>
                  <w:pPr>
                    <w:autoSpaceDE w:val="0"/>
                    <w:autoSpaceDN w:val="0"/>
                    <w:spacing w:before="3"/>
                    <w:ind w:left="191"/>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厂界标准值（</w:t>
                  </w:r>
                  <w:r>
                    <w:rPr>
                      <w:rFonts w:ascii="Times New Roman" w:hAnsi="Times New Roman" w:eastAsia="Times New Roman" w:cs="Times New Roman"/>
                      <w:kern w:val="0"/>
                      <w:lang w:val="zh-CN" w:bidi="zh-CN"/>
                    </w:rPr>
                    <w:t>mg/m</w:t>
                  </w:r>
                  <w:r>
                    <w:rPr>
                      <w:rFonts w:ascii="Times New Roman" w:hAnsi="Times New Roman" w:eastAsia="Times New Roman" w:cs="Times New Roman"/>
                      <w:kern w:val="0"/>
                      <w:vertAlign w:val="superscript"/>
                      <w:lang w:val="zh-CN" w:bidi="zh-CN"/>
                    </w:rPr>
                    <w:t>3</w:t>
                  </w:r>
                  <w:r>
                    <w:rPr>
                      <w:rFonts w:ascii="Times New Roman" w:hAnsi="Times New Roman" w:eastAsia="宋体" w:cs="Times New Roman"/>
                      <w:kern w:val="0"/>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9" w:hRule="atLeast"/>
                <w:jc w:val="center"/>
              </w:trPr>
              <w:tc>
                <w:tcPr>
                  <w:tcW w:w="4767" w:type="dxa"/>
                  <w:vMerge w:val="continue"/>
                  <w:vAlign w:val="center"/>
                </w:tcPr>
                <w:p>
                  <w:pPr>
                    <w:autoSpaceDE w:val="0"/>
                    <w:autoSpaceDN w:val="0"/>
                    <w:jc w:val="left"/>
                    <w:rPr>
                      <w:rFonts w:ascii="Times New Roman" w:hAnsi="Times New Roman" w:eastAsia="宋体" w:cs="Times New Roman"/>
                      <w:kern w:val="0"/>
                      <w:sz w:val="2"/>
                      <w:szCs w:val="2"/>
                      <w:lang w:val="zh-CN" w:bidi="zh-CN"/>
                    </w:rPr>
                  </w:pPr>
                </w:p>
              </w:tc>
              <w:tc>
                <w:tcPr>
                  <w:tcW w:w="2088" w:type="dxa"/>
                  <w:vAlign w:val="center"/>
                </w:tcPr>
                <w:p>
                  <w:pPr>
                    <w:autoSpaceDE w:val="0"/>
                    <w:autoSpaceDN w:val="0"/>
                    <w:spacing w:line="200" w:lineRule="exact"/>
                    <w:ind w:left="202" w:right="17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H</w:t>
                  </w:r>
                  <w:r>
                    <w:rPr>
                      <w:rFonts w:ascii="Times New Roman" w:hAnsi="Times New Roman" w:eastAsia="宋体" w:cs="Times New Roman"/>
                      <w:kern w:val="0"/>
                      <w:vertAlign w:val="subscript"/>
                      <w:lang w:val="zh-CN" w:bidi="zh-CN"/>
                    </w:rPr>
                    <w:t>2</w:t>
                  </w:r>
                  <w:r>
                    <w:rPr>
                      <w:rFonts w:ascii="Times New Roman" w:hAnsi="Times New Roman" w:eastAsia="宋体" w:cs="Times New Roman"/>
                      <w:kern w:val="0"/>
                      <w:lang w:val="zh-CN" w:bidi="zh-CN"/>
                    </w:rPr>
                    <w:t>S</w:t>
                  </w:r>
                </w:p>
              </w:tc>
              <w:tc>
                <w:tcPr>
                  <w:tcW w:w="2661" w:type="dxa"/>
                  <w:vAlign w:val="center"/>
                </w:tcPr>
                <w:p>
                  <w:pPr>
                    <w:autoSpaceDE w:val="0"/>
                    <w:autoSpaceDN w:val="0"/>
                    <w:spacing w:line="200" w:lineRule="exact"/>
                    <w:ind w:right="513"/>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4767" w:type="dxa"/>
                  <w:vMerge w:val="continue"/>
                  <w:vAlign w:val="center"/>
                </w:tcPr>
                <w:p>
                  <w:pPr>
                    <w:autoSpaceDE w:val="0"/>
                    <w:autoSpaceDN w:val="0"/>
                    <w:jc w:val="left"/>
                    <w:rPr>
                      <w:rFonts w:ascii="Times New Roman" w:hAnsi="Times New Roman" w:eastAsia="宋体" w:cs="Times New Roman"/>
                      <w:kern w:val="0"/>
                      <w:sz w:val="2"/>
                      <w:szCs w:val="2"/>
                      <w:lang w:val="zh-CN" w:bidi="zh-CN"/>
                    </w:rPr>
                  </w:pPr>
                </w:p>
              </w:tc>
              <w:tc>
                <w:tcPr>
                  <w:tcW w:w="2088" w:type="dxa"/>
                  <w:vAlign w:val="center"/>
                </w:tcPr>
                <w:p>
                  <w:pPr>
                    <w:autoSpaceDE w:val="0"/>
                    <w:autoSpaceDN w:val="0"/>
                    <w:spacing w:line="202" w:lineRule="exact"/>
                    <w:ind w:left="202" w:right="17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NH</w:t>
                  </w:r>
                  <w:r>
                    <w:rPr>
                      <w:rFonts w:ascii="Times New Roman" w:hAnsi="Times New Roman" w:eastAsia="宋体" w:cs="Times New Roman"/>
                      <w:kern w:val="0"/>
                      <w:vertAlign w:val="subscript"/>
                      <w:lang w:val="zh-CN" w:bidi="zh-CN"/>
                    </w:rPr>
                    <w:t>3</w:t>
                  </w:r>
                </w:p>
              </w:tc>
              <w:tc>
                <w:tcPr>
                  <w:tcW w:w="2661" w:type="dxa"/>
                  <w:vAlign w:val="center"/>
                </w:tcPr>
                <w:p>
                  <w:pPr>
                    <w:autoSpaceDE w:val="0"/>
                    <w:autoSpaceDN w:val="0"/>
                    <w:spacing w:line="202" w:lineRule="exact"/>
                    <w:ind w:right="568"/>
                    <w:jc w:val="center"/>
                    <w:rPr>
                      <w:rFonts w:ascii="Times New Roman" w:hAnsi="Times New Roman" w:eastAsia="宋体" w:cs="Times New Roman"/>
                      <w:kern w:val="0"/>
                      <w:lang w:val="zh-CN" w:bidi="zh-CN"/>
                    </w:rPr>
                  </w:pPr>
                  <w:r>
                    <w:rPr>
                      <w:rFonts w:ascii="Times New Roman" w:hAnsi="Times New Roman" w:eastAsia="宋体" w:cs="Times New Roman"/>
                      <w:kern w:val="0"/>
                      <w:lang w:val="zh-CN" w:bidi="zh-CN"/>
                    </w:rPr>
                    <w:t>1.5</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2、废水</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lang w:val="zh-CN"/>
              </w:rPr>
              <w:t>本项目</w:t>
            </w:r>
            <w:r>
              <w:rPr>
                <w:rFonts w:ascii="Times New Roman" w:hAnsi="Times New Roman" w:eastAsia="宋体" w:cs="Times New Roman"/>
                <w:sz w:val="24"/>
                <w:szCs w:val="24"/>
              </w:rPr>
              <w:t>生活污水（其中食堂废水经隔油器处理）及生产废水经车间内废水管道进入厂区废水处理站预处理，处理后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w:t>
            </w:r>
            <w:r>
              <w:rPr>
                <w:rFonts w:hint="eastAsia" w:ascii="Times New Roman" w:hAnsi="Times New Roman" w:eastAsia="宋体" w:cs="Times New Roman"/>
                <w:sz w:val="24"/>
                <w:szCs w:val="24"/>
                <w:lang w:val="en-US" w:eastAsia="zh-CN"/>
              </w:rPr>
              <w:t>排至</w:t>
            </w:r>
            <w:r>
              <w:rPr>
                <w:rFonts w:ascii="Times New Roman" w:hAnsi="Times New Roman" w:eastAsia="宋体" w:cs="Times New Roman"/>
                <w:sz w:val="24"/>
                <w:szCs w:val="24"/>
              </w:rPr>
              <w:t>柳林县污水处理厂，污水排放执行《污水排入城镇下水道水质标准》（GB/T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 xml:space="preserve">等级标准。 </w:t>
            </w:r>
          </w:p>
          <w:p>
            <w:pPr>
              <w:widowControl/>
              <w:spacing w:line="480" w:lineRule="exact"/>
              <w:ind w:firstLine="420" w:firstLineChars="200"/>
              <w:jc w:val="center"/>
              <w:rPr>
                <w:rFonts w:ascii="Times New Roman" w:hAnsi="Times New Roman" w:eastAsia="宋体" w:cs="Times New Roman"/>
                <w:b/>
                <w:bCs/>
                <w:szCs w:val="24"/>
              </w:rPr>
            </w:pPr>
            <w:r>
              <w:rPr>
                <w:rFonts w:ascii="Times New Roman" w:hAnsi="Times New Roman" w:eastAsia="宋体" w:cs="Times New Roman"/>
                <w:szCs w:val="24"/>
              </w:rPr>
              <w:t>表15 《污水排入城镇下水道水质标准》（GB/T 31962-2015）表1中A级标准</w:t>
            </w:r>
          </w:p>
          <w:tbl>
            <w:tblPr>
              <w:tblStyle w:val="21"/>
              <w:tblW w:w="951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2"/>
              <w:gridCol w:w="2491"/>
              <w:gridCol w:w="2487"/>
              <w:gridCol w:w="2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序号</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污染名称</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标准值</w:t>
                  </w:r>
                </w:p>
              </w:tc>
              <w:tc>
                <w:tcPr>
                  <w:tcW w:w="2046"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1</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pH</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6.5~9.5</w:t>
                  </w:r>
                </w:p>
              </w:tc>
              <w:tc>
                <w:tcPr>
                  <w:tcW w:w="2046"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SS</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400</w:t>
                  </w:r>
                </w:p>
              </w:tc>
              <w:tc>
                <w:tcPr>
                  <w:tcW w:w="2046" w:type="dxa"/>
                  <w:vMerge w:val="restart"/>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BOD</w:t>
                  </w:r>
                  <w:r>
                    <w:rPr>
                      <w:rFonts w:ascii="Times New Roman" w:hAnsi="Times New Roman" w:eastAsia="宋体" w:cs="Times New Roman"/>
                      <w:szCs w:val="24"/>
                      <w:vertAlign w:val="subscript"/>
                    </w:rPr>
                    <w:t>5</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350</w:t>
                  </w:r>
                </w:p>
              </w:tc>
              <w:tc>
                <w:tcPr>
                  <w:tcW w:w="2046"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COD</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500</w:t>
                  </w:r>
                </w:p>
              </w:tc>
              <w:tc>
                <w:tcPr>
                  <w:tcW w:w="2046"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石油类</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20</w:t>
                  </w:r>
                </w:p>
              </w:tc>
              <w:tc>
                <w:tcPr>
                  <w:tcW w:w="2046" w:type="dxa"/>
                  <w:vMerge w:val="continue"/>
                  <w:vAlign w:val="center"/>
                </w:tcPr>
                <w:p>
                  <w:pPr>
                    <w:widowControl/>
                    <w:spacing w:line="240" w:lineRule="atLeast"/>
                    <w:jc w:val="center"/>
                    <w:rPr>
                      <w:rFonts w:ascii="Times New Roman" w:hAnsi="Times New Roman" w:eastAsia="宋体" w:cs="Times New Roman"/>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92"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w:t>
                  </w:r>
                </w:p>
              </w:tc>
              <w:tc>
                <w:tcPr>
                  <w:tcW w:w="2491"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色度</w:t>
                  </w:r>
                </w:p>
              </w:tc>
              <w:tc>
                <w:tcPr>
                  <w:tcW w:w="2487"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w:t>
                  </w:r>
                </w:p>
              </w:tc>
              <w:tc>
                <w:tcPr>
                  <w:tcW w:w="2046" w:type="dxa"/>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3、噪声</w:t>
            </w:r>
          </w:p>
          <w:p>
            <w:pPr>
              <w:widowControl/>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施工期，场界环境噪声排放执行《建筑施工场界环境噪声排放标准》（GB12523-2011）</w:t>
            </w:r>
            <w:r>
              <w:rPr>
                <w:rFonts w:ascii="Times New Roman" w:hAnsi="Times New Roman" w:eastAsia="宋体" w:cs="Times New Roman"/>
                <w:sz w:val="24"/>
                <w:szCs w:val="24"/>
                <w:lang w:val="zh-CN"/>
              </w:rPr>
              <w:t>，具体标准限值见表</w:t>
            </w:r>
            <w:r>
              <w:rPr>
                <w:rFonts w:ascii="Times New Roman" w:hAnsi="Times New Roman" w:eastAsia="宋体" w:cs="Times New Roman"/>
                <w:sz w:val="24"/>
                <w:szCs w:val="24"/>
              </w:rPr>
              <w:t>1</w:t>
            </w:r>
            <w:r>
              <w:rPr>
                <w:rFonts w:hint="eastAsia" w:ascii="Times New Roman" w:hAnsi="Times New Roman" w:eastAsia="宋体" w:cs="Times New Roman"/>
                <w:sz w:val="24"/>
                <w:szCs w:val="24"/>
                <w:lang w:val="en-US" w:eastAsia="zh-CN"/>
              </w:rPr>
              <w:t>6</w:t>
            </w:r>
            <w:r>
              <w:rPr>
                <w:rFonts w:ascii="Times New Roman" w:hAnsi="Times New Roman" w:eastAsia="宋体" w:cs="Times New Roman"/>
                <w:sz w:val="24"/>
                <w:szCs w:val="24"/>
              </w:rPr>
              <w:t>。</w:t>
            </w:r>
          </w:p>
          <w:p>
            <w:pPr>
              <w:widowControl/>
              <w:spacing w:line="480" w:lineRule="exact"/>
              <w:ind w:firstLine="420" w:firstLineChars="200"/>
              <w:jc w:val="center"/>
              <w:rPr>
                <w:rFonts w:ascii="Times New Roman" w:hAnsi="Times New Roman" w:eastAsia="宋体" w:cs="Times New Roman"/>
                <w:szCs w:val="24"/>
                <w:lang w:val="zh-CN"/>
              </w:rPr>
            </w:pPr>
            <w:r>
              <w:rPr>
                <w:rFonts w:ascii="Times New Roman" w:hAnsi="Times New Roman" w:eastAsia="宋体" w:cs="Times New Roman"/>
                <w:szCs w:val="24"/>
                <w:lang w:val="zh-CN"/>
              </w:rPr>
              <w:t>表</w:t>
            </w:r>
            <w:r>
              <w:rPr>
                <w:rFonts w:ascii="Times New Roman" w:hAnsi="Times New Roman" w:eastAsia="宋体" w:cs="Times New Roman"/>
                <w:szCs w:val="24"/>
              </w:rPr>
              <w:t>1</w:t>
            </w:r>
            <w:r>
              <w:rPr>
                <w:rFonts w:hint="eastAsia" w:ascii="Times New Roman" w:hAnsi="Times New Roman" w:eastAsia="宋体" w:cs="Times New Roman"/>
                <w:szCs w:val="24"/>
                <w:lang w:val="en-US" w:eastAsia="zh-CN"/>
              </w:rPr>
              <w:t>6</w:t>
            </w:r>
            <w:r>
              <w:rPr>
                <w:rFonts w:ascii="Times New Roman" w:hAnsi="Times New Roman" w:eastAsia="宋体" w:cs="Times New Roman"/>
                <w:szCs w:val="24"/>
                <w:lang w:val="zh-CN"/>
              </w:rPr>
              <w:t xml:space="preserve">  《建筑施工场界环境噪声排放标准》（GB12523-2011）</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9"/>
              <w:gridCol w:w="4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759" w:type="dxa"/>
                  <w:vAlign w:val="center"/>
                </w:tcPr>
                <w:p>
                  <w:pPr>
                    <w:jc w:val="center"/>
                    <w:rPr>
                      <w:rFonts w:ascii="Times New Roman" w:hAnsi="Times New Roman" w:eastAsia="宋体" w:cs="Times New Roman"/>
                      <w:szCs w:val="21"/>
                      <w:lang w:val="zh-CN"/>
                    </w:rPr>
                  </w:pPr>
                  <w:r>
                    <w:rPr>
                      <w:rFonts w:ascii="Times New Roman" w:hAnsi="Times New Roman" w:eastAsia="宋体" w:cs="Times New Roman"/>
                      <w:szCs w:val="21"/>
                      <w:lang w:val="zh-CN"/>
                    </w:rPr>
                    <w:t>昼间</w:t>
                  </w:r>
                </w:p>
              </w:tc>
              <w:tc>
                <w:tcPr>
                  <w:tcW w:w="4822" w:type="dxa"/>
                  <w:vAlign w:val="center"/>
                </w:tcPr>
                <w:p>
                  <w:pPr>
                    <w:jc w:val="center"/>
                    <w:rPr>
                      <w:rFonts w:ascii="Times New Roman" w:hAnsi="Times New Roman" w:eastAsia="宋体" w:cs="Times New Roman"/>
                      <w:szCs w:val="21"/>
                      <w:lang w:val="zh-CN"/>
                    </w:rPr>
                  </w:pPr>
                  <w:r>
                    <w:rPr>
                      <w:rFonts w:ascii="Times New Roman" w:hAnsi="Times New Roman" w:eastAsia="宋体" w:cs="Times New Roman"/>
                      <w:szCs w:val="21"/>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jc w:val="center"/>
              </w:trPr>
              <w:tc>
                <w:tcPr>
                  <w:tcW w:w="47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70dB（A）</w:t>
                  </w:r>
                </w:p>
              </w:tc>
              <w:tc>
                <w:tcPr>
                  <w:tcW w:w="482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55dB（A）</w:t>
                  </w:r>
                </w:p>
              </w:tc>
            </w:tr>
          </w:tbl>
          <w:p>
            <w:pPr>
              <w:widowControl/>
              <w:spacing w:line="480" w:lineRule="exact"/>
              <w:ind w:firstLine="480" w:firstLineChars="200"/>
              <w:rPr>
                <w:rFonts w:ascii="Times New Roman" w:hAnsi="Times New Roman" w:eastAsia="宋体" w:cs="Times New Roman"/>
                <w:color w:val="FF0000"/>
                <w:sz w:val="24"/>
                <w:szCs w:val="24"/>
                <w:highlight w:val="green"/>
              </w:rPr>
            </w:pPr>
            <w:r>
              <w:rPr>
                <w:rFonts w:ascii="Times New Roman" w:hAnsi="Times New Roman" w:eastAsia="宋体" w:cs="Times New Roman"/>
                <w:sz w:val="24"/>
                <w:szCs w:val="24"/>
                <w:lang w:val="zh-CN"/>
              </w:rPr>
              <w:t>运营期，厂区边界噪声排放执行《工业企业厂界环境噪声排放标准》（GB12348-2008）中</w:t>
            </w:r>
            <w:r>
              <w:rPr>
                <w:rFonts w:ascii="Times New Roman" w:hAnsi="Times New Roman" w:eastAsia="宋体" w:cs="Times New Roman"/>
                <w:sz w:val="24"/>
                <w:szCs w:val="24"/>
              </w:rPr>
              <w:t>2</w:t>
            </w:r>
            <w:r>
              <w:rPr>
                <w:rFonts w:ascii="Times New Roman" w:hAnsi="Times New Roman" w:eastAsia="宋体" w:cs="Times New Roman"/>
                <w:sz w:val="24"/>
                <w:szCs w:val="24"/>
                <w:lang w:val="zh-CN"/>
              </w:rPr>
              <w:t>类标准，具体标准限值见表</w:t>
            </w:r>
            <w:r>
              <w:rPr>
                <w:rFonts w:ascii="Times New Roman" w:hAnsi="Times New Roman" w:eastAsia="宋体" w:cs="Times New Roman"/>
                <w:sz w:val="24"/>
                <w:szCs w:val="24"/>
              </w:rPr>
              <w:t>1</w:t>
            </w:r>
            <w:r>
              <w:rPr>
                <w:rFonts w:hint="eastAsia" w:ascii="Times New Roman" w:hAnsi="Times New Roman" w:eastAsia="宋体" w:cs="Times New Roman"/>
                <w:sz w:val="24"/>
                <w:szCs w:val="24"/>
                <w:lang w:val="en-US" w:eastAsia="zh-CN"/>
              </w:rPr>
              <w:t>7</w:t>
            </w:r>
            <w:r>
              <w:rPr>
                <w:rFonts w:ascii="Times New Roman" w:hAnsi="Times New Roman" w:eastAsia="宋体" w:cs="Times New Roman"/>
                <w:sz w:val="24"/>
                <w:szCs w:val="24"/>
                <w:lang w:val="zh-CN"/>
              </w:rPr>
              <w:t>。</w:t>
            </w:r>
          </w:p>
          <w:p>
            <w:pPr>
              <w:widowControl/>
              <w:spacing w:line="480" w:lineRule="exact"/>
              <w:ind w:firstLine="420" w:firstLineChars="200"/>
              <w:jc w:val="center"/>
              <w:rPr>
                <w:rFonts w:ascii="Times New Roman" w:hAnsi="Times New Roman" w:eastAsia="宋体" w:cs="Times New Roman"/>
                <w:szCs w:val="24"/>
                <w:lang w:val="zh-CN"/>
              </w:rPr>
            </w:pPr>
            <w:r>
              <w:rPr>
                <w:rFonts w:ascii="Times New Roman" w:hAnsi="Times New Roman" w:eastAsia="宋体" w:cs="Times New Roman"/>
                <w:szCs w:val="24"/>
                <w:lang w:val="zh-CN"/>
              </w:rPr>
              <w:t>表1</w:t>
            </w:r>
            <w:r>
              <w:rPr>
                <w:rFonts w:hint="eastAsia" w:ascii="Times New Roman" w:hAnsi="Times New Roman" w:eastAsia="宋体" w:cs="Times New Roman"/>
                <w:szCs w:val="24"/>
                <w:lang w:val="en-US" w:eastAsia="zh-CN"/>
              </w:rPr>
              <w:t>7</w:t>
            </w:r>
            <w:r>
              <w:rPr>
                <w:rFonts w:ascii="Times New Roman" w:hAnsi="Times New Roman" w:eastAsia="宋体" w:cs="Times New Roman"/>
                <w:szCs w:val="24"/>
                <w:lang w:val="zh-CN"/>
              </w:rPr>
              <w:t xml:space="preserve">  《工业企业厂界环境噪声排放标准》（GB12348-2008）</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4"/>
              <w:gridCol w:w="3287"/>
              <w:gridCol w:w="3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984" w:type="dxa"/>
                  <w:vMerge w:val="restart"/>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厂界外声环境功能区类别</w:t>
                  </w:r>
                </w:p>
              </w:tc>
              <w:tc>
                <w:tcPr>
                  <w:tcW w:w="6597" w:type="dxa"/>
                  <w:gridSpan w:val="2"/>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984" w:type="dxa"/>
                  <w:vMerge w:val="continue"/>
                  <w:vAlign w:val="center"/>
                </w:tcPr>
                <w:p>
                  <w:pPr>
                    <w:jc w:val="center"/>
                    <w:rPr>
                      <w:rFonts w:ascii="Times New Roman" w:hAnsi="Times New Roman" w:eastAsia="宋体" w:cs="Times New Roman"/>
                      <w:color w:val="000000"/>
                      <w:szCs w:val="21"/>
                    </w:rPr>
                  </w:pPr>
                </w:p>
              </w:tc>
              <w:tc>
                <w:tcPr>
                  <w:tcW w:w="3287" w:type="dxa"/>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昼间</w:t>
                  </w:r>
                </w:p>
              </w:tc>
              <w:tc>
                <w:tcPr>
                  <w:tcW w:w="3310" w:type="dxa"/>
                  <w:vAlign w:val="center"/>
                </w:tcPr>
                <w:p>
                  <w:pPr>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984"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2类</w:t>
                  </w:r>
                </w:p>
              </w:tc>
              <w:tc>
                <w:tcPr>
                  <w:tcW w:w="3287"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60dB（A）</w:t>
                  </w:r>
                </w:p>
              </w:tc>
              <w:tc>
                <w:tcPr>
                  <w:tcW w:w="331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50dB（A）</w:t>
                  </w:r>
                </w:p>
              </w:tc>
            </w:tr>
          </w:tbl>
          <w:p>
            <w:pPr>
              <w:widowControl/>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4、固废</w:t>
            </w:r>
          </w:p>
          <w:p>
            <w:pPr>
              <w:autoSpaceDE w:val="0"/>
              <w:autoSpaceDN w:val="0"/>
              <w:spacing w:line="480" w:lineRule="exact"/>
              <w:ind w:firstLine="480" w:firstLineChars="200"/>
              <w:rPr>
                <w:rFonts w:hint="eastAsia" w:ascii="Times New Roman" w:hAnsi="Times New Roman" w:eastAsia="宋体" w:cs="Times New Roman"/>
                <w:sz w:val="24"/>
                <w:szCs w:val="24"/>
                <w:lang w:val="zh-CN"/>
              </w:rPr>
            </w:pPr>
            <w:r>
              <w:rPr>
                <w:rFonts w:ascii="Times New Roman" w:hAnsi="Times New Roman" w:eastAsia="宋体" w:cs="Times New Roman"/>
                <w:sz w:val="24"/>
                <w:szCs w:val="24"/>
                <w:lang w:val="zh-CN"/>
              </w:rPr>
              <w:t>一般工业固体废物执行《一般工业固体废物贮存和填埋污染控制标准》（GB18599-2020）</w:t>
            </w:r>
            <w:r>
              <w:rPr>
                <w:rFonts w:hint="eastAsia" w:ascii="Times New Roman" w:hAnsi="Times New Roman" w:eastAsia="宋体" w:cs="Times New Roman"/>
                <w:sz w:val="24"/>
                <w:szCs w:val="24"/>
                <w:lang w:val="zh-CN"/>
              </w:rPr>
              <w:t>。</w:t>
            </w: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p>
            <w:pPr>
              <w:autoSpaceDE w:val="0"/>
              <w:autoSpaceDN w:val="0"/>
              <w:spacing w:line="480" w:lineRule="exact"/>
              <w:ind w:firstLine="480" w:firstLineChars="200"/>
              <w:rPr>
                <w:rFonts w:hint="eastAsia" w:ascii="Times New Roman" w:hAnsi="Times New Roman" w:eastAsia="宋体" w:cs="Times New Roman"/>
                <w:sz w:val="24"/>
                <w:szCs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34" w:hRule="atLeast"/>
          <w:jc w:val="center"/>
        </w:trPr>
        <w:tc>
          <w:tcPr>
            <w:tcW w:w="463" w:type="dxa"/>
            <w:tcBorders>
              <w:tl2br w:val="nil"/>
              <w:tr2bl w:val="nil"/>
            </w:tcBorders>
            <w:vAlign w:val="center"/>
          </w:tcPr>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总量控制指标</w:t>
            </w:r>
          </w:p>
        </w:tc>
        <w:tc>
          <w:tcPr>
            <w:tcW w:w="9742" w:type="dxa"/>
            <w:tcBorders>
              <w:tl2br w:val="nil"/>
              <w:tr2bl w:val="nil"/>
            </w:tcBorders>
            <w:vAlign w:val="center"/>
          </w:tcPr>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根据《山西省环保厅建设项目主要污染物排放总量核定办法》（晋环发[2015]25号）中的第三条规定：属于环境统计重点工业源调查行</w:t>
            </w:r>
            <w:bookmarkStart w:id="2" w:name="_GoBack"/>
            <w:bookmarkEnd w:id="2"/>
            <w:r>
              <w:rPr>
                <w:rFonts w:ascii="Times New Roman" w:hAnsi="Times New Roman" w:eastAsia="宋体" w:cs="Times New Roman"/>
                <w:color w:val="000000" w:themeColor="text1"/>
                <w:sz w:val="24"/>
                <w:szCs w:val="24"/>
                <w14:textFill>
                  <w14:solidFill>
                    <w14:schemeClr w14:val="tx1"/>
                  </w14:solidFill>
                </w14:textFill>
              </w:rPr>
              <w:t>业范围内（《国民经济行业分类》（GB/T4754）中采矿业、制造业，电力、燃气及水的生产和供应业，3个门类39个行业）新增主要污染物排放总量的建设项目，在环境影响评价文件审批前，建设单位需按本办法规定取得主要污染物排放总量指标。</w:t>
            </w: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吕梁市生态环境局柳林分局于2021年8月21日以柳环函〔2021〕55号对本项目下发了污染物排放总量控制指标的核定意见，核定本项目主要污</w:t>
            </w:r>
            <w:r>
              <w:rPr>
                <w:rFonts w:ascii="Times New Roman" w:hAnsi="Times New Roman" w:eastAsia="宋体" w:cs="Times New Roman"/>
                <w:color w:val="000000" w:themeColor="text1"/>
                <w:sz w:val="24"/>
                <w:szCs w:val="24"/>
                <w14:textFill>
                  <w14:solidFill>
                    <w14:schemeClr w14:val="tx1"/>
                  </w14:solidFill>
                </w14:textFill>
              </w:rPr>
              <w:t>染物排放总量指标</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cs="Times New Roman"/>
                <w:bCs/>
                <w:color w:val="000000"/>
                <w:sz w:val="24"/>
                <w:szCs w:val="24"/>
              </w:rPr>
              <w:t>化学需氧量</w:t>
            </w:r>
            <w:r>
              <w:rPr>
                <w:rFonts w:hint="eastAsia" w:ascii="Times New Roman" w:hAnsi="Times New Roman" w:cs="Times New Roman"/>
                <w:bCs/>
                <w:color w:val="000000"/>
                <w:sz w:val="24"/>
                <w:szCs w:val="24"/>
              </w:rPr>
              <w:t>：</w:t>
            </w:r>
            <w:r>
              <w:rPr>
                <w:rFonts w:hint="eastAsia" w:ascii="Times New Roman" w:hAnsi="Times New Roman" w:cs="Times New Roman"/>
                <w:bCs/>
                <w:color w:val="000000"/>
                <w:sz w:val="24"/>
                <w:szCs w:val="24"/>
                <w:lang w:val="en-US" w:eastAsia="zh-CN"/>
              </w:rPr>
              <w:t>0.84</w:t>
            </w:r>
            <w:r>
              <w:rPr>
                <w:rFonts w:ascii="Times New Roman" w:hAnsi="Times New Roman" w:cs="Times New Roman"/>
                <w:bCs/>
                <w:color w:val="000000"/>
                <w:sz w:val="24"/>
                <w:szCs w:val="24"/>
              </w:rPr>
              <w:t>t/a</w:t>
            </w:r>
            <w:r>
              <w:rPr>
                <w:rFonts w:hint="eastAsia" w:ascii="Times New Roman" w:hAnsi="Times New Roman" w:cs="Times New Roman"/>
                <w:bCs/>
                <w:color w:val="000000"/>
                <w:sz w:val="24"/>
                <w:szCs w:val="24"/>
              </w:rPr>
              <w:t>；</w:t>
            </w:r>
            <w:r>
              <w:rPr>
                <w:rFonts w:ascii="Times New Roman" w:hAnsi="Times New Roman" w:cs="Times New Roman"/>
                <w:bCs/>
                <w:color w:val="000000"/>
                <w:sz w:val="24"/>
                <w:szCs w:val="24"/>
              </w:rPr>
              <w:t>氨氮</w:t>
            </w:r>
            <w:r>
              <w:rPr>
                <w:rFonts w:hint="eastAsia" w:ascii="Times New Roman" w:hAnsi="Times New Roman" w:cs="Times New Roman"/>
                <w:bCs/>
                <w:color w:val="000000"/>
                <w:sz w:val="24"/>
                <w:szCs w:val="24"/>
              </w:rPr>
              <w:t>：</w:t>
            </w:r>
            <w:r>
              <w:rPr>
                <w:rFonts w:hint="eastAsia" w:ascii="Times New Roman" w:hAnsi="Times New Roman" w:cs="Times New Roman"/>
                <w:bCs/>
                <w:color w:val="000000"/>
                <w:sz w:val="24"/>
                <w:szCs w:val="24"/>
                <w:lang w:val="en-US" w:eastAsia="zh-CN"/>
              </w:rPr>
              <w:t>0.04</w:t>
            </w:r>
            <w:r>
              <w:rPr>
                <w:rFonts w:ascii="Times New Roman" w:hAnsi="Times New Roman" w:cs="Times New Roman"/>
                <w:bCs/>
                <w:color w:val="000000"/>
                <w:sz w:val="24"/>
                <w:szCs w:val="24"/>
              </w:rPr>
              <w:t>t/a</w:t>
            </w:r>
            <w:r>
              <w:rPr>
                <w:rFonts w:ascii="Times New Roman" w:hAnsi="Times New Roman" w:eastAsia="宋体" w:cs="Times New Roman"/>
                <w:color w:val="000000" w:themeColor="text1"/>
                <w:sz w:val="24"/>
                <w:szCs w:val="24"/>
                <w14:textFill>
                  <w14:solidFill>
                    <w14:schemeClr w14:val="tx1"/>
                  </w14:solidFill>
                </w14:textFill>
              </w:rPr>
              <w:t>。</w:t>
            </w: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p>
            <w:pPr>
              <w:widowControl/>
              <w:adjustRightInd w:val="0"/>
              <w:snapToGrid w:val="0"/>
              <w:spacing w:line="48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p>
        </w:tc>
      </w:tr>
    </w:tbl>
    <w:p>
      <w:pPr>
        <w:pStyle w:val="16"/>
        <w:jc w:val="both"/>
        <w:outlineLvl w:val="0"/>
        <w:rPr>
          <w:rFonts w:ascii="Times New Roman" w:hAnsi="Times New Roman" w:eastAsia="黑体"/>
          <w:snapToGrid w:val="0"/>
          <w:sz w:val="36"/>
          <w:szCs w:val="36"/>
        </w:rPr>
        <w:sectPr>
          <w:pgSz w:w="11907" w:h="16840"/>
          <w:pgMar w:top="1417" w:right="1134" w:bottom="1417" w:left="1134" w:header="851" w:footer="851" w:gutter="0"/>
          <w:pgBorders>
            <w:top w:val="none" w:sz="0" w:space="0"/>
            <w:left w:val="none" w:sz="0" w:space="0"/>
            <w:bottom w:val="none" w:sz="0" w:space="0"/>
            <w:right w:val="none" w:sz="0" w:space="0"/>
          </w:pgBorders>
          <w:cols w:space="720" w:num="1"/>
          <w:docGrid w:linePitch="312" w:charSpace="0"/>
        </w:sectPr>
      </w:pPr>
    </w:p>
    <w:p>
      <w:pPr>
        <w:keepNext/>
        <w:numPr>
          <w:ilvl w:val="0"/>
          <w:numId w:val="2"/>
        </w:numPr>
        <w:overflowPunct w:val="0"/>
        <w:snapToGrid w:val="0"/>
        <w:spacing w:before="156" w:beforeLines="50" w:after="156" w:afterLines="50"/>
        <w:jc w:val="center"/>
        <w:outlineLvl w:val="0"/>
        <w:rPr>
          <w:rFonts w:ascii="Times New Roman" w:hAnsi="Times New Roman" w:eastAsia="黑体" w:cs="Times New Roman"/>
          <w:color w:val="000000"/>
          <w:kern w:val="44"/>
          <w:sz w:val="30"/>
          <w:szCs w:val="30"/>
        </w:rPr>
      </w:pPr>
      <w:r>
        <w:rPr>
          <w:rFonts w:ascii="Times New Roman" w:hAnsi="Times New Roman" w:eastAsia="黑体" w:cs="Times New Roman"/>
          <w:color w:val="000000"/>
          <w:kern w:val="44"/>
          <w:sz w:val="30"/>
          <w:szCs w:val="30"/>
        </w:rPr>
        <w:t>主要环境影响和保护措施</w:t>
      </w:r>
    </w:p>
    <w:tbl>
      <w:tblPr>
        <w:tblStyle w:val="21"/>
        <w:tblW w:w="1026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施工期环境保护措施</w:t>
            </w:r>
          </w:p>
        </w:tc>
        <w:tc>
          <w:tcPr>
            <w:tcW w:w="9807" w:type="dxa"/>
            <w:tcBorders>
              <w:tl2br w:val="nil"/>
              <w:tr2bl w:val="nil"/>
            </w:tcBorders>
            <w:vAlign w:val="center"/>
          </w:tcPr>
          <w:p>
            <w:pPr>
              <w:spacing w:line="360" w:lineRule="auto"/>
              <w:ind w:firstLine="480" w:firstLineChars="200"/>
              <w:jc w:val="left"/>
              <w:rPr>
                <w:rFonts w:ascii="Times New Roman" w:hAnsi="宋体" w:eastAsia="宋体" w:cs="Times New Roman"/>
                <w:snapToGrid w:val="0"/>
                <w:kern w:val="0"/>
                <w:sz w:val="24"/>
                <w:szCs w:val="24"/>
              </w:rPr>
            </w:pPr>
            <w:r>
              <w:rPr>
                <w:rFonts w:ascii="Times New Roman" w:hAnsi="Times New Roman" w:cs="Times New Roman"/>
                <w:color w:val="000000"/>
                <w:sz w:val="24"/>
              </w:rPr>
              <w:t>本项目施工期建设涉及厂房修建</w:t>
            </w:r>
            <w:r>
              <w:rPr>
                <w:rFonts w:hint="eastAsia" w:ascii="Times New Roman" w:hAnsi="Times New Roman" w:cs="Times New Roman"/>
                <w:color w:val="000000"/>
                <w:sz w:val="24"/>
              </w:rPr>
              <w:t>、</w:t>
            </w:r>
            <w:r>
              <w:rPr>
                <w:rFonts w:ascii="Times New Roman" w:hAnsi="Times New Roman" w:cs="Times New Roman"/>
                <w:color w:val="000000"/>
                <w:sz w:val="24"/>
              </w:rPr>
              <w:t>设备安装</w:t>
            </w:r>
            <w:r>
              <w:rPr>
                <w:rFonts w:hint="eastAsia" w:ascii="Times New Roman" w:hAnsi="Times New Roman" w:cs="Times New Roman"/>
                <w:color w:val="000000"/>
                <w:sz w:val="24"/>
              </w:rPr>
              <w:t>、地面平整、</w:t>
            </w:r>
            <w:r>
              <w:rPr>
                <w:rFonts w:ascii="Times New Roman" w:hAnsi="Times New Roman" w:cs="Times New Roman"/>
                <w:color w:val="000000"/>
                <w:sz w:val="24"/>
              </w:rPr>
              <w:t>地面防渗处理</w:t>
            </w:r>
            <w:r>
              <w:rPr>
                <w:rFonts w:hint="eastAsia" w:ascii="Times New Roman" w:hAnsi="Times New Roman" w:cs="Times New Roman"/>
                <w:color w:val="000000"/>
                <w:sz w:val="24"/>
              </w:rPr>
              <w:t>和污水管网修建等</w:t>
            </w:r>
            <w:r>
              <w:rPr>
                <w:rFonts w:ascii="Times New Roman" w:hAnsi="Times New Roman" w:cs="Times New Roman"/>
                <w:color w:val="000000"/>
                <w:sz w:val="24"/>
              </w:rPr>
              <w:t>。</w:t>
            </w:r>
          </w:p>
          <w:p>
            <w:pPr>
              <w:spacing w:line="360" w:lineRule="auto"/>
              <w:ind w:firstLine="480" w:firstLineChars="200"/>
              <w:jc w:val="left"/>
              <w:rPr>
                <w:rFonts w:ascii="Times New Roman" w:hAnsi="Times New Roman" w:eastAsia="宋体" w:cs="Times New Roman"/>
                <w:color w:val="000000"/>
                <w:sz w:val="24"/>
                <w:szCs w:val="24"/>
              </w:rPr>
            </w:pPr>
            <w:r>
              <w:rPr>
                <w:rFonts w:ascii="Times New Roman" w:hAnsi="宋体" w:eastAsia="宋体" w:cs="Times New Roman"/>
                <w:snapToGrid w:val="0"/>
                <w:kern w:val="0"/>
                <w:sz w:val="24"/>
                <w:szCs w:val="24"/>
              </w:rPr>
              <w:t>施工现场不设施工营地，施工人员均为附近村民。本项目施工期对环境影响主要表现在施工期废气、噪声、施工期固体废弃物、施工废水及生态环境影响等方面。由于本项目施工作业范围为厂址及周边，所以施工期噪声、施工废弃物、扬尘的影响在时空的作用上均很有限。施工结束后，此类影响随即消失，故施工期的环境影响是短期的、轻微的和小范围的。</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1、废气</w:t>
            </w:r>
          </w:p>
          <w:p>
            <w:pPr>
              <w:autoSpaceDE w:val="0"/>
              <w:autoSpaceDN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本项目施工期产生的废气主要为物料卸载和堆放粉尘、车辆运输扬尘以及施工活动产生的粉尘。为减少对周围大气环境的影响，环评要求施工单位采取以下措施：</w:t>
            </w:r>
            <w:r>
              <w:rPr>
                <w:rFonts w:hint="eastAsia" w:ascii="宋体" w:hAnsi="宋体" w:eastAsia="宋体" w:cs="宋体"/>
                <w:sz w:val="24"/>
                <w:szCs w:val="24"/>
              </w:rPr>
              <w:t>①</w:t>
            </w:r>
            <w:r>
              <w:rPr>
                <w:rFonts w:ascii="Times New Roman" w:hAnsi="Times New Roman" w:eastAsia="宋体" w:cs="Times New Roman"/>
                <w:sz w:val="24"/>
                <w:szCs w:val="24"/>
              </w:rPr>
              <w:t>施工场地周边100%围挡：施工场地周边设置1.8m高的围挡，围挡底端设置防溢座，围挡之间以及围挡与防溢座之间无缝隙；</w:t>
            </w:r>
            <w:r>
              <w:rPr>
                <w:rFonts w:hint="eastAsia" w:ascii="宋体" w:hAnsi="宋体" w:eastAsia="宋体" w:cs="宋体"/>
                <w:sz w:val="24"/>
                <w:szCs w:val="24"/>
              </w:rPr>
              <w:t>②</w:t>
            </w:r>
            <w:r>
              <w:rPr>
                <w:rFonts w:ascii="Times New Roman" w:hAnsi="Times New Roman" w:eastAsia="宋体" w:cs="Times New Roman"/>
                <w:sz w:val="24"/>
                <w:szCs w:val="24"/>
              </w:rPr>
              <w:t>物料堆放100%覆盖：采用防尘网苫盖建筑材料和建筑垃圾，并配套设置雾炮机，确保喷雾可覆盖整个堆场和装卸点，无盲区；</w:t>
            </w:r>
            <w:r>
              <w:rPr>
                <w:rFonts w:hint="eastAsia" w:ascii="宋体" w:hAnsi="宋体" w:eastAsia="宋体" w:cs="宋体"/>
                <w:sz w:val="24"/>
                <w:szCs w:val="24"/>
              </w:rPr>
              <w:t>③</w:t>
            </w:r>
            <w:r>
              <w:rPr>
                <w:rFonts w:ascii="Times New Roman" w:hAnsi="Times New Roman" w:eastAsia="宋体" w:cs="Times New Roman"/>
                <w:sz w:val="24"/>
                <w:szCs w:val="24"/>
              </w:rPr>
              <w:t>出入车辆100%冲洗：在施工场地进出口处设置一座全自动车辆冲洗平台（有效长度设置为20m以上、有效宽度设置为3.2m以上）对出场运输车辆进行冲洗，运输车辆驶入冲洗平台时，冲洗平台自动感应，利用其两侧及底部的高压水嘴对运输车辆的轮胎及底盘等部位进行全方位清洗，不得带泥上路；</w:t>
            </w:r>
            <w:r>
              <w:rPr>
                <w:rFonts w:hint="eastAsia" w:ascii="宋体" w:hAnsi="宋体" w:eastAsia="宋体" w:cs="宋体"/>
                <w:sz w:val="24"/>
                <w:szCs w:val="24"/>
              </w:rPr>
              <w:t>④</w:t>
            </w:r>
            <w:r>
              <w:rPr>
                <w:rFonts w:ascii="Times New Roman" w:hAnsi="Times New Roman" w:eastAsia="宋体" w:cs="Times New Roman"/>
                <w:sz w:val="24"/>
                <w:szCs w:val="24"/>
              </w:rPr>
              <w:t>施工场地地面100%硬化：对施工场地地面进行硬化处理，并安排专人定期对施工场地及其进出口进行清扫和洒水，保持路面的清洁和相对湿度；</w:t>
            </w:r>
            <w:r>
              <w:rPr>
                <w:rFonts w:hint="eastAsia" w:ascii="宋体" w:hAnsi="宋体" w:eastAsia="宋体" w:cs="宋体"/>
                <w:sz w:val="24"/>
                <w:szCs w:val="24"/>
              </w:rPr>
              <w:t>⑤</w:t>
            </w:r>
            <w:r>
              <w:rPr>
                <w:rFonts w:ascii="Times New Roman" w:hAnsi="Times New Roman" w:eastAsia="宋体" w:cs="Times New Roman"/>
                <w:sz w:val="24"/>
                <w:szCs w:val="24"/>
              </w:rPr>
              <w:t>土方开挖100%湿法作业：土方开挖过程中洒水抑尘，遇到四级及四级以上大风天气停止土方作业，同时在作业处苫盖防尘网；</w:t>
            </w:r>
            <w:r>
              <w:rPr>
                <w:rFonts w:hint="eastAsia" w:ascii="宋体" w:hAnsi="宋体" w:eastAsia="宋体" w:cs="宋体"/>
                <w:sz w:val="24"/>
                <w:szCs w:val="24"/>
              </w:rPr>
              <w:t>⑥</w:t>
            </w:r>
            <w:r>
              <w:rPr>
                <w:rFonts w:ascii="Times New Roman" w:hAnsi="Times New Roman" w:eastAsia="宋体" w:cs="Times New Roman"/>
                <w:sz w:val="24"/>
                <w:szCs w:val="24"/>
              </w:rPr>
              <w:t>渣土车辆100%密闭运输：按照国家核定的载重量，严格控制运输车辆的装载量，物料装载高度不得超过槽帮上沿；尽可能采用密闭车斗运输车辆运输物料，若无密闭车斗，车辆运输过程中加盖篷布，篷布至少要遮住槽帮上沿以下15cm，最大限度地减少物料洒落；严格按照批准的时间和路线运输物料。</w:t>
            </w:r>
          </w:p>
          <w:p>
            <w:pPr>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本项目施工期拟采取的废气污染防治措施可有效减少施工活动对周围大气环境的影响，且符合《</w:t>
            </w:r>
            <w:r>
              <w:rPr>
                <w:rFonts w:hint="eastAsia" w:ascii="Times New Roman" w:hAnsi="Times New Roman" w:eastAsia="宋体" w:cs="Times New Roman"/>
                <w:sz w:val="24"/>
                <w:szCs w:val="24"/>
                <w:lang w:val="en-US" w:eastAsia="zh-CN"/>
              </w:rPr>
              <w:t>吕梁市扬尘污染防治条例</w:t>
            </w:r>
            <w:r>
              <w:rPr>
                <w:rFonts w:ascii="Times New Roman" w:hAnsi="Times New Roman" w:eastAsia="宋体" w:cs="Times New Roman"/>
                <w:sz w:val="24"/>
                <w:szCs w:val="24"/>
              </w:rPr>
              <w:t>》等文件中相关要求。</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2、废水</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施工期废水包括生产废水和生活废水两部分。</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施工期生产废水为施工作业废水，包括地面洒水及设备清洗废水等，量少，可直接泼洒，增湿抑尘。生活污水主要来自施工人员生活洗涤、清洁卫生等过程。项目施工场地设有旱厕，施工人员的洗漱废水量少，亦可以直接泼洒，用于场地增湿抑尘。严禁施工废水排入三川河。</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由上述分析可知，施工期间产生的生产废水及生活污水不会对周围水环境造成负面影响。</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3、噪声</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本项目施工期产生的噪声主要来源于推土机、混凝土搅拌机、混凝土振捣器、切割机、焊机和运输车辆等，噪声源源强为80~120dB（A）。本项目施工期拟采取的噪声污染防治措施：</w:t>
            </w:r>
            <w:r>
              <w:rPr>
                <w:rFonts w:hint="eastAsia" w:ascii="宋体" w:hAnsi="宋体" w:eastAsia="宋体" w:cs="宋体"/>
                <w:sz w:val="24"/>
                <w:szCs w:val="24"/>
              </w:rPr>
              <w:t>①</w:t>
            </w:r>
            <w:r>
              <w:rPr>
                <w:rFonts w:ascii="Times New Roman" w:hAnsi="Times New Roman" w:eastAsia="宋体" w:cs="Times New Roman"/>
                <w:sz w:val="24"/>
                <w:szCs w:val="24"/>
              </w:rPr>
              <w:t>合理安排施工时间：制定施工计划时，应尽可能避免高噪声设备同时施工；高噪声的作业应尽量安排在白天进行，减少夜间施工量，避免对周围村庄居民生活产生不良影响；</w:t>
            </w:r>
            <w:r>
              <w:rPr>
                <w:rFonts w:hint="eastAsia" w:ascii="宋体" w:hAnsi="宋体" w:eastAsia="宋体" w:cs="宋体"/>
                <w:sz w:val="24"/>
                <w:szCs w:val="24"/>
              </w:rPr>
              <w:t>②</w:t>
            </w:r>
            <w:r>
              <w:rPr>
                <w:rFonts w:ascii="Times New Roman" w:hAnsi="Times New Roman" w:eastAsia="宋体" w:cs="Times New Roman"/>
                <w:sz w:val="24"/>
                <w:szCs w:val="24"/>
              </w:rPr>
              <w:t>合理布局施工场地：避免同一地点安排大量动力机械设备，以免局部声级过高；</w:t>
            </w:r>
            <w:r>
              <w:rPr>
                <w:rFonts w:hint="eastAsia" w:ascii="宋体" w:hAnsi="宋体" w:eastAsia="宋体" w:cs="宋体"/>
                <w:sz w:val="24"/>
                <w:szCs w:val="24"/>
              </w:rPr>
              <w:t>③</w:t>
            </w:r>
            <w:r>
              <w:rPr>
                <w:rFonts w:ascii="Times New Roman" w:hAnsi="Times New Roman" w:eastAsia="宋体" w:cs="Times New Roman"/>
                <w:sz w:val="24"/>
                <w:szCs w:val="24"/>
              </w:rPr>
              <w:t>降低设备噪声级：设备选型上尽量采用低噪声设备，对动力机械设备要定期进行维护和保养，使其一直保持良好的状态，减轻因设备运行状态不佳而造成的噪声污染；闲置不用的设备应立即关闭；</w:t>
            </w:r>
            <w:r>
              <w:rPr>
                <w:rFonts w:hint="eastAsia" w:ascii="宋体" w:hAnsi="宋体" w:eastAsia="宋体" w:cs="宋体"/>
                <w:sz w:val="24"/>
                <w:szCs w:val="24"/>
              </w:rPr>
              <w:t>④</w:t>
            </w:r>
            <w:r>
              <w:rPr>
                <w:rFonts w:ascii="Times New Roman" w:hAnsi="Times New Roman" w:eastAsia="宋体" w:cs="Times New Roman"/>
                <w:sz w:val="24"/>
                <w:szCs w:val="24"/>
              </w:rPr>
              <w:t>运输要采用车况良好的车辆，并应注意定期维修和养护；在经过居民区路段要限制鸣笛；一般情况应禁止夜间运输。</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施工单位严格执行环评提出的各项噪声污染防治措施后，对周边声环境影响较小。</w:t>
            </w:r>
          </w:p>
          <w:p>
            <w:pPr>
              <w:autoSpaceDE w:val="0"/>
              <w:autoSpaceDN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4、固废</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（1）施工作业固体废物</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生产固废包括运输道路、厂房及其辅助工程施工作业过程中产生的建筑垃圾。建筑废弃物在工程施工开工前应签订环保责任书，由各施工单位负责施工期固体废弃物的处理，将建筑垃圾运至指定地点。各施工单位要加强施工管理，对施工产生的建筑垃圾不能随意抛弃。</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（2）生活固废</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施工期生活垃圾按施工高峰期人数约20人，施工人员人均生活垃圾产生量按1kg/人·d计算，则施工高峰期日生活垃圾产生量为0.02t/d，这部分生活垃圾应配置垃圾桶，定期外运至当地环卫部门指定地点统一处置。</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施工期项目的固体废弃物排放是暂时的，随着施工的结束而减小，通过积极有效的施工管理，施工期固体废弃物对环境造成的影响不大。</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5、振动</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施工单位严格按照《环境噪声与振动控制工程技术导则》（HJ2034-2013）中相关减振要求施工，避免振动对周围环境造成负面影响：</w:t>
            </w:r>
            <w:r>
              <w:rPr>
                <w:rFonts w:hint="eastAsia" w:ascii="宋体" w:hAnsi="宋体" w:eastAsia="宋体" w:cs="宋体"/>
                <w:color w:val="000000"/>
                <w:sz w:val="24"/>
                <w:szCs w:val="24"/>
              </w:rPr>
              <w:t>①</w:t>
            </w:r>
            <w:r>
              <w:rPr>
                <w:rFonts w:ascii="Times New Roman" w:hAnsi="Times New Roman" w:eastAsia="宋体" w:cs="Times New Roman"/>
                <w:color w:val="000000"/>
                <w:sz w:val="24"/>
                <w:szCs w:val="24"/>
              </w:rPr>
              <w:t>隔振元件（包括隔振垫层和隔振器）：根据所需隔振系统的固有频率选择合适的隔振元件，隔振元件品种及规格宜根据有关产品的技术性能参数选择确定；</w:t>
            </w:r>
            <w:r>
              <w:rPr>
                <w:rFonts w:hint="eastAsia" w:ascii="宋体" w:hAnsi="宋体" w:eastAsia="宋体" w:cs="宋体"/>
                <w:color w:val="000000"/>
                <w:sz w:val="24"/>
                <w:szCs w:val="24"/>
              </w:rPr>
              <w:t>②</w:t>
            </w:r>
            <w:r>
              <w:rPr>
                <w:rFonts w:ascii="Times New Roman" w:hAnsi="Times New Roman" w:eastAsia="宋体" w:cs="Times New Roman"/>
                <w:color w:val="000000"/>
                <w:sz w:val="24"/>
                <w:szCs w:val="24"/>
              </w:rPr>
              <w:t>隔振机座：隔振机座应设置在机器设备与隔振元件之间，由型钢或混凝土块构成；自重较轻的隔振机座可采用型钢框架；刚性好、隔振系统重心低、系统的固有频率低且隔振量大的隔振机座宜采用混凝土或钢混复合结构。隔振机座重量不宜小于机器自重，对于旋转式机器，隔振机座重量宜为机器自重的1.5倍~2倍；对于往复式机器，隔振机座重量宜为机器自重的3倍~5倍；对于冲击类机器，隔振机座重量应由传至隔振机座的动力和机器的允许振幅来决定。</w:t>
            </w:r>
          </w:p>
          <w:p>
            <w:pPr>
              <w:spacing w:line="480" w:lineRule="atLeast"/>
              <w:ind w:firstLine="480" w:firstLineChars="200"/>
              <w:jc w:val="left"/>
              <w:rPr>
                <w:rFonts w:ascii="Times New Roman" w:hAnsi="Times New Roman" w:eastAsia="宋体" w:cs="Times New Roman"/>
                <w:snapToGrid w:val="0"/>
                <w:kern w:val="0"/>
                <w:sz w:val="24"/>
                <w:szCs w:val="24"/>
              </w:rPr>
            </w:pPr>
            <w:r>
              <w:rPr>
                <w:rFonts w:hint="eastAsia" w:ascii="Times New Roman" w:hAnsi="Times New Roman" w:eastAsia="宋体" w:cs="Times New Roman"/>
                <w:color w:val="000000"/>
                <w:sz w:val="24"/>
                <w:szCs w:val="24"/>
              </w:rPr>
              <w:t>6、</w:t>
            </w:r>
            <w:r>
              <w:rPr>
                <w:rFonts w:ascii="Times New Roman" w:hAnsi="宋体" w:eastAsia="宋体" w:cs="Times New Roman"/>
                <w:snapToGrid w:val="0"/>
                <w:kern w:val="0"/>
                <w:sz w:val="24"/>
                <w:szCs w:val="24"/>
              </w:rPr>
              <w:t>土壤、植被、农作物影响的分析及防治措施</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1</w:t>
            </w:r>
            <w:r>
              <w:rPr>
                <w:rFonts w:ascii="Times New Roman" w:hAnsi="宋体" w:eastAsia="宋体" w:cs="Times New Roman"/>
                <w:snapToGrid w:val="0"/>
                <w:kern w:val="0"/>
                <w:sz w:val="24"/>
                <w:szCs w:val="24"/>
              </w:rPr>
              <w:t>）影响分析</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工程建设过程中由于要进行必要的挖填平整，施工期水土流失是最敏感的环境问题，如不避开雨季施工必然会造成短期的局部水土流失。在工程建设过程中，受挖填土方等工程行为的影响，部分植被地段和植物多样性将受到彻底破坏，施工区尚需进行施工场地的清理和填挖土方，这将会造成小范围的扬尘污染，整个施工过程中要进行物料的运输，如果不注意加强规范化的作业管理，也将会出现物料抛洒和废弃物处理不当所带来的生态环境影响。</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2</w:t>
            </w:r>
            <w:r>
              <w:rPr>
                <w:rFonts w:ascii="Times New Roman" w:hAnsi="宋体" w:eastAsia="宋体" w:cs="Times New Roman"/>
                <w:snapToGrid w:val="0"/>
                <w:kern w:val="0"/>
                <w:sz w:val="24"/>
                <w:szCs w:val="24"/>
              </w:rPr>
              <w:t>）生态环境保护及水土保持措施</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①</w:t>
            </w:r>
            <w:r>
              <w:rPr>
                <w:rFonts w:ascii="Times New Roman" w:hAnsi="宋体" w:eastAsia="宋体" w:cs="Times New Roman"/>
                <w:snapToGrid w:val="0"/>
                <w:kern w:val="0"/>
                <w:sz w:val="24"/>
                <w:szCs w:val="24"/>
              </w:rPr>
              <w:t>要坚持工程的</w:t>
            </w:r>
            <w:r>
              <w:rPr>
                <w:rFonts w:ascii="Times New Roman" w:hAnsi="Times New Roman" w:eastAsia="宋体" w:cs="Times New Roman"/>
                <w:snapToGrid w:val="0"/>
                <w:kern w:val="0"/>
                <w:sz w:val="24"/>
                <w:szCs w:val="24"/>
              </w:rPr>
              <w:t>“</w:t>
            </w:r>
            <w:r>
              <w:rPr>
                <w:rFonts w:ascii="Times New Roman" w:hAnsi="宋体" w:eastAsia="宋体" w:cs="Times New Roman"/>
                <w:snapToGrid w:val="0"/>
                <w:kern w:val="0"/>
                <w:sz w:val="24"/>
                <w:szCs w:val="24"/>
              </w:rPr>
              <w:t>三同时</w:t>
            </w:r>
            <w:r>
              <w:rPr>
                <w:rFonts w:ascii="Times New Roman" w:hAnsi="Times New Roman" w:eastAsia="宋体" w:cs="Times New Roman"/>
                <w:snapToGrid w:val="0"/>
                <w:kern w:val="0"/>
                <w:sz w:val="24"/>
                <w:szCs w:val="24"/>
              </w:rPr>
              <w:t>”</w:t>
            </w:r>
            <w:r>
              <w:rPr>
                <w:rFonts w:ascii="Times New Roman" w:hAnsi="宋体" w:eastAsia="宋体" w:cs="Times New Roman"/>
                <w:snapToGrid w:val="0"/>
                <w:kern w:val="0"/>
                <w:sz w:val="24"/>
                <w:szCs w:val="24"/>
              </w:rPr>
              <w:t>原则，即环保设施与主体工程同时设计，同时施工，同时投入运行。</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②</w:t>
            </w:r>
            <w:r>
              <w:rPr>
                <w:rFonts w:ascii="Times New Roman" w:hAnsi="宋体" w:eastAsia="宋体" w:cs="Times New Roman"/>
                <w:snapToGrid w:val="0"/>
                <w:kern w:val="0"/>
                <w:sz w:val="24"/>
                <w:szCs w:val="24"/>
              </w:rPr>
              <w:t>要对施工场地进行合理的规划，四周设置移动围档。对建筑材料设专门的堆棚，也要设置围档，尽量减轻施工对周围环境的影响。</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宋体" w:hAnsi="宋体" w:eastAsia="宋体" w:cs="Times New Roman"/>
                <w:snapToGrid w:val="0"/>
                <w:kern w:val="0"/>
                <w:sz w:val="24"/>
                <w:szCs w:val="24"/>
              </w:rPr>
              <w:t>③</w:t>
            </w:r>
            <w:r>
              <w:rPr>
                <w:rFonts w:ascii="Times New Roman" w:hAnsi="宋体" w:eastAsia="宋体" w:cs="Times New Roman"/>
                <w:snapToGrid w:val="0"/>
                <w:kern w:val="0"/>
                <w:sz w:val="24"/>
                <w:szCs w:val="24"/>
              </w:rPr>
              <w:t>在施工后，对破坏的地面要及时进行平整，及时将路面硬化，并进行绿化，恢复植被，种植树木、花卉、草坪等。</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综合以上分析，施工建设期是许多建设项目对生态发生实质性影响的时期，因而施工方案、施工方式、施工期环境保护管理都是非常重要的。为此，本次环评要求建设单位在工程施工期要切实做好以下几方面的工作：</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1</w:t>
            </w:r>
            <w:r>
              <w:rPr>
                <w:rFonts w:ascii="Times New Roman" w:hAnsi="宋体" w:eastAsia="宋体" w:cs="Times New Roman"/>
                <w:snapToGrid w:val="0"/>
                <w:kern w:val="0"/>
                <w:sz w:val="24"/>
                <w:szCs w:val="24"/>
              </w:rPr>
              <w:t>）建立规范化操作程序和制度。</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2</w:t>
            </w:r>
            <w:r>
              <w:rPr>
                <w:rFonts w:ascii="Times New Roman" w:hAnsi="宋体" w:eastAsia="宋体" w:cs="Times New Roman"/>
                <w:snapToGrid w:val="0"/>
                <w:kern w:val="0"/>
                <w:sz w:val="24"/>
                <w:szCs w:val="24"/>
              </w:rPr>
              <w:t>）合理安排施工次序、季节、时间。</w:t>
            </w:r>
          </w:p>
          <w:p>
            <w:pPr>
              <w:spacing w:line="480" w:lineRule="atLeast"/>
              <w:ind w:firstLine="480" w:firstLineChars="200"/>
              <w:jc w:val="left"/>
              <w:rPr>
                <w:rFonts w:ascii="Times New Roman" w:hAnsi="Times New Roman" w:eastAsia="宋体" w:cs="Times New Roman"/>
                <w:snapToGrid w:val="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3</w:t>
            </w:r>
            <w:r>
              <w:rPr>
                <w:rFonts w:ascii="Times New Roman" w:hAnsi="宋体" w:eastAsia="宋体" w:cs="Times New Roman"/>
                <w:snapToGrid w:val="0"/>
                <w:kern w:val="0"/>
                <w:sz w:val="24"/>
                <w:szCs w:val="24"/>
              </w:rPr>
              <w:t>）选择有资质的施工队伍，采用科学的施工组织方法。</w:t>
            </w:r>
          </w:p>
          <w:p>
            <w:pPr>
              <w:adjustRightInd w:val="0"/>
              <w:spacing w:line="480" w:lineRule="atLeast"/>
              <w:ind w:firstLine="480" w:firstLineChars="200"/>
              <w:rPr>
                <w:rFonts w:hint="eastAsia" w:ascii="Times New Roman" w:hAnsi="Times New Roman" w:eastAsia="宋体" w:cs="Times New Roman"/>
                <w:color w:val="FF0000"/>
                <w:kern w:val="0"/>
                <w:sz w:val="24"/>
                <w:szCs w:val="24"/>
              </w:rPr>
            </w:pPr>
            <w:r>
              <w:rPr>
                <w:rFonts w:ascii="Times New Roman" w:hAnsi="宋体" w:eastAsia="宋体" w:cs="Times New Roman"/>
                <w:snapToGrid w:val="0"/>
                <w:kern w:val="0"/>
                <w:sz w:val="24"/>
                <w:szCs w:val="24"/>
              </w:rPr>
              <w:t>（</w:t>
            </w:r>
            <w:r>
              <w:rPr>
                <w:rFonts w:ascii="Times New Roman" w:hAnsi="Times New Roman" w:eastAsia="宋体" w:cs="Times New Roman"/>
                <w:snapToGrid w:val="0"/>
                <w:kern w:val="0"/>
                <w:sz w:val="24"/>
                <w:szCs w:val="24"/>
              </w:rPr>
              <w:t>4</w:t>
            </w:r>
            <w:r>
              <w:rPr>
                <w:rFonts w:ascii="Times New Roman" w:hAnsi="宋体" w:eastAsia="宋体" w:cs="Times New Roman"/>
                <w:snapToGrid w:val="0"/>
                <w:kern w:val="0"/>
                <w:sz w:val="24"/>
                <w:szCs w:val="24"/>
              </w:rPr>
              <w:t>）加强施工期环境工程监理与施工队伍管理。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56" w:type="dxa"/>
            <w:tcBorders>
              <w:tl2br w:val="nil"/>
              <w:tr2bl w:val="nil"/>
            </w:tcBorders>
            <w:vAlign w:val="center"/>
          </w:tcPr>
          <w:p>
            <w:pPr>
              <w:spacing w:line="480" w:lineRule="exact"/>
              <w:jc w:val="center"/>
              <w:rPr>
                <w:rFonts w:ascii="Times New Roman" w:hAnsi="Times New Roman" w:eastAsia="宋体" w:cs="Times New Roman"/>
                <w:sz w:val="24"/>
                <w:szCs w:val="24"/>
                <w:highlight w:val="green"/>
              </w:rPr>
            </w:pPr>
            <w:r>
              <w:rPr>
                <w:rFonts w:ascii="Times New Roman" w:hAnsi="Times New Roman" w:eastAsia="宋体" w:cs="Times New Roman"/>
                <w:sz w:val="24"/>
                <w:szCs w:val="24"/>
              </w:rPr>
              <w:t>运营期环境影响和保护措施</w:t>
            </w:r>
          </w:p>
        </w:tc>
        <w:tc>
          <w:tcPr>
            <w:tcW w:w="9807" w:type="dxa"/>
            <w:tcBorders>
              <w:tl2br w:val="nil"/>
              <w:tr2bl w:val="nil"/>
            </w:tcBorders>
            <w:vAlign w:val="center"/>
          </w:tcPr>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本次评价根据《污染源源强核算技术指南  准则》（HJ884-2018）、《排污单位自行监测技术指南  总则》（HJ819-2017）中相关要求核算污染源源强、提出污染防治措施和制定环境监测计划等。</w:t>
            </w:r>
          </w:p>
          <w:p>
            <w:pPr>
              <w:adjustRightInd w:val="0"/>
              <w:snapToGrid w:val="0"/>
              <w:spacing w:line="480" w:lineRule="exact"/>
              <w:rPr>
                <w:rFonts w:ascii="Times New Roman" w:hAnsi="Times New Roman" w:eastAsia="宋体" w:cs="Times New Roman"/>
                <w:color w:val="FF0000"/>
                <w:sz w:val="24"/>
                <w:szCs w:val="24"/>
              </w:rPr>
            </w:pPr>
            <w:r>
              <w:rPr>
                <w:rFonts w:ascii="Times New Roman" w:hAnsi="Times New Roman" w:eastAsia="宋体" w:cs="Times New Roman"/>
                <w:color w:val="000000"/>
                <w:sz w:val="24"/>
                <w:szCs w:val="24"/>
              </w:rPr>
              <w:t>1、废气</w:t>
            </w:r>
          </w:p>
          <w:p>
            <w:pPr>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（1）主要污染物产生及预计排放情况</w:t>
            </w:r>
          </w:p>
          <w:p>
            <w:pPr>
              <w:widowControl/>
              <w:adjustRightInd w:val="0"/>
              <w:snapToGrid w:val="0"/>
              <w:spacing w:line="480" w:lineRule="exact"/>
              <w:jc w:val="center"/>
              <w:rPr>
                <w:rFonts w:ascii="Times New Roman" w:hAnsi="Times New Roman" w:eastAsia="黑体" w:cs="Times New Roman"/>
                <w:bCs/>
                <w:snapToGrid w:val="0"/>
                <w:color w:val="FF0000"/>
                <w:kern w:val="0"/>
                <w:szCs w:val="21"/>
              </w:rPr>
            </w:pPr>
            <w:r>
              <w:rPr>
                <w:rFonts w:ascii="Times New Roman" w:hAnsi="Times New Roman" w:eastAsia="黑体" w:cs="Times New Roman"/>
                <w:bCs/>
                <w:snapToGrid w:val="0"/>
                <w:color w:val="000000"/>
                <w:kern w:val="0"/>
                <w:szCs w:val="21"/>
              </w:rPr>
              <w:t>表17  主要污染物产生及预计排放情况一览表</w:t>
            </w:r>
          </w:p>
          <w:tbl>
            <w:tblPr>
              <w:tblStyle w:val="21"/>
              <w:tblW w:w="95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2"/>
              <w:gridCol w:w="479"/>
              <w:gridCol w:w="673"/>
              <w:gridCol w:w="985"/>
              <w:gridCol w:w="1178"/>
              <w:gridCol w:w="2616"/>
              <w:gridCol w:w="707"/>
              <w:gridCol w:w="567"/>
              <w:gridCol w:w="780"/>
              <w:gridCol w:w="11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7" w:hRule="atLeast"/>
                <w:jc w:val="center"/>
              </w:trPr>
              <w:tc>
                <w:tcPr>
                  <w:tcW w:w="442"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序号</w:t>
                  </w:r>
                </w:p>
              </w:tc>
              <w:tc>
                <w:tcPr>
                  <w:tcW w:w="47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产排污环节</w:t>
                  </w:r>
                </w:p>
              </w:tc>
              <w:tc>
                <w:tcPr>
                  <w:tcW w:w="673"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污染物种类</w:t>
                  </w:r>
                </w:p>
              </w:tc>
              <w:tc>
                <w:tcPr>
                  <w:tcW w:w="2163" w:type="dxa"/>
                  <w:gridSpan w:val="2"/>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产生浓度和产生量</w:t>
                  </w:r>
                </w:p>
              </w:tc>
              <w:tc>
                <w:tcPr>
                  <w:tcW w:w="3323" w:type="dxa"/>
                  <w:gridSpan w:val="2"/>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污染治理设施</w:t>
                  </w:r>
                </w:p>
              </w:tc>
              <w:tc>
                <w:tcPr>
                  <w:tcW w:w="567"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排放形式</w:t>
                  </w:r>
                </w:p>
              </w:tc>
              <w:tc>
                <w:tcPr>
                  <w:tcW w:w="1934" w:type="dxa"/>
                  <w:gridSpan w:val="2"/>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排放浓度和排放量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7" w:hRule="atLeast"/>
                <w:jc w:val="center"/>
              </w:trPr>
              <w:tc>
                <w:tcPr>
                  <w:tcW w:w="442" w:type="dxa"/>
                  <w:vMerge w:val="continue"/>
                  <w:vAlign w:val="center"/>
                </w:tcPr>
                <w:p>
                  <w:pPr>
                    <w:jc w:val="center"/>
                    <w:rPr>
                      <w:rFonts w:ascii="Times New Roman" w:hAnsi="Times New Roman" w:eastAsia="宋体" w:cs="Times New Roman"/>
                      <w:color w:val="000000"/>
                      <w:szCs w:val="21"/>
                    </w:rPr>
                  </w:pPr>
                </w:p>
              </w:tc>
              <w:tc>
                <w:tcPr>
                  <w:tcW w:w="479" w:type="dxa"/>
                  <w:vMerge w:val="continue"/>
                  <w:vAlign w:val="center"/>
                </w:tcPr>
                <w:p>
                  <w:pPr>
                    <w:jc w:val="center"/>
                    <w:rPr>
                      <w:rFonts w:ascii="Times New Roman" w:hAnsi="Times New Roman" w:eastAsia="宋体" w:cs="Times New Roman"/>
                      <w:color w:val="000000"/>
                      <w:szCs w:val="21"/>
                    </w:rPr>
                  </w:pPr>
                </w:p>
              </w:tc>
              <w:tc>
                <w:tcPr>
                  <w:tcW w:w="673" w:type="dxa"/>
                  <w:vMerge w:val="continue"/>
                  <w:vAlign w:val="center"/>
                </w:tcPr>
                <w:p>
                  <w:pPr>
                    <w:jc w:val="center"/>
                    <w:rPr>
                      <w:rFonts w:ascii="Times New Roman" w:hAnsi="Times New Roman" w:eastAsia="宋体" w:cs="Times New Roman"/>
                      <w:szCs w:val="21"/>
                    </w:rPr>
                  </w:pPr>
                </w:p>
              </w:tc>
              <w:tc>
                <w:tcPr>
                  <w:tcW w:w="98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产生浓度</w:t>
                  </w:r>
                  <w:r>
                    <w:rPr>
                      <w:rFonts w:ascii="Times New Roman" w:hAnsi="Times New Roman" w:eastAsia="宋体" w:cs="Times New Roman"/>
                      <w:sz w:val="18"/>
                      <w:szCs w:val="18"/>
                    </w:rPr>
                    <w:t>mg/m</w:t>
                  </w:r>
                  <w:r>
                    <w:rPr>
                      <w:rFonts w:ascii="Times New Roman" w:hAnsi="Times New Roman" w:eastAsia="宋体" w:cs="Times New Roman"/>
                      <w:sz w:val="18"/>
                      <w:szCs w:val="18"/>
                      <w:vertAlign w:val="superscript"/>
                    </w:rPr>
                    <w:t>3</w:t>
                  </w:r>
                </w:p>
              </w:tc>
              <w:tc>
                <w:tcPr>
                  <w:tcW w:w="117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产生量</w:t>
                  </w:r>
                </w:p>
                <w:p>
                  <w:pPr>
                    <w:jc w:val="center"/>
                    <w:rPr>
                      <w:rFonts w:ascii="Times New Roman" w:hAnsi="Times New Roman" w:eastAsia="宋体" w:cs="Times New Roman"/>
                      <w:szCs w:val="21"/>
                    </w:rPr>
                  </w:pPr>
                  <w:r>
                    <w:rPr>
                      <w:rFonts w:ascii="Times New Roman" w:hAnsi="Times New Roman" w:eastAsia="宋体" w:cs="Times New Roman"/>
                      <w:sz w:val="18"/>
                      <w:szCs w:val="18"/>
                    </w:rPr>
                    <w:t>kg/h</w:t>
                  </w:r>
                </w:p>
              </w:tc>
              <w:tc>
                <w:tcPr>
                  <w:tcW w:w="2616"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相关设计参数</w:t>
                  </w:r>
                </w:p>
              </w:tc>
              <w:tc>
                <w:tcPr>
                  <w:tcW w:w="707"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是否为可行技术</w:t>
                  </w:r>
                </w:p>
              </w:tc>
              <w:tc>
                <w:tcPr>
                  <w:tcW w:w="567" w:type="dxa"/>
                  <w:vMerge w:val="continue"/>
                  <w:vAlign w:val="center"/>
                </w:tcPr>
                <w:p>
                  <w:pPr>
                    <w:jc w:val="center"/>
                    <w:rPr>
                      <w:rFonts w:ascii="Times New Roman" w:hAnsi="Times New Roman" w:eastAsia="宋体" w:cs="Times New Roman"/>
                      <w:color w:val="000000"/>
                      <w:szCs w:val="21"/>
                    </w:rPr>
                  </w:pPr>
                </w:p>
              </w:tc>
              <w:tc>
                <w:tcPr>
                  <w:tcW w:w="7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排放浓度</w:t>
                  </w:r>
                  <w:r>
                    <w:rPr>
                      <w:rFonts w:ascii="Times New Roman" w:hAnsi="Times New Roman" w:eastAsia="宋体" w:cs="Times New Roman"/>
                      <w:sz w:val="18"/>
                      <w:szCs w:val="18"/>
                    </w:rPr>
                    <w:t>mg/m</w:t>
                  </w:r>
                  <w:r>
                    <w:rPr>
                      <w:rFonts w:ascii="Times New Roman" w:hAnsi="Times New Roman" w:eastAsia="宋体" w:cs="Times New Roman"/>
                      <w:sz w:val="18"/>
                      <w:szCs w:val="18"/>
                      <w:vertAlign w:val="superscript"/>
                    </w:rPr>
                    <w:t>3</w:t>
                  </w:r>
                </w:p>
              </w:tc>
              <w:tc>
                <w:tcPr>
                  <w:tcW w:w="115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排放量</w:t>
                  </w:r>
                  <w:r>
                    <w:rPr>
                      <w:rFonts w:ascii="Times New Roman" w:hAnsi="Times New Roman" w:eastAsia="宋体" w:cs="Times New Roman"/>
                      <w:sz w:val="18"/>
                      <w:szCs w:val="18"/>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21" w:hRule="atLeast"/>
                <w:jc w:val="center"/>
              </w:trPr>
              <w:tc>
                <w:tcPr>
                  <w:tcW w:w="442"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w:t>
                  </w:r>
                </w:p>
              </w:tc>
              <w:tc>
                <w:tcPr>
                  <w:tcW w:w="47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污水处理站</w:t>
                  </w:r>
                </w:p>
              </w:tc>
              <w:tc>
                <w:tcPr>
                  <w:tcW w:w="67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NH</w:t>
                  </w:r>
                  <w:r>
                    <w:rPr>
                      <w:rFonts w:ascii="Times New Roman" w:hAnsi="Times New Roman" w:eastAsia="宋体" w:cs="Times New Roman"/>
                      <w:color w:val="000000"/>
                      <w:szCs w:val="21"/>
                      <w:vertAlign w:val="subscript"/>
                    </w:rPr>
                    <w:t>3</w:t>
                  </w:r>
                </w:p>
              </w:tc>
              <w:tc>
                <w:tcPr>
                  <w:tcW w:w="985" w:type="dxa"/>
                  <w:vAlign w:val="center"/>
                </w:tcPr>
                <w:p>
                  <w:pPr>
                    <w:adjustRightInd w:val="0"/>
                    <w:jc w:val="center"/>
                    <w:rPr>
                      <w:rFonts w:ascii="Times New Roman" w:hAnsi="Times New Roman" w:cs="Times New Roman"/>
                      <w:sz w:val="18"/>
                      <w:szCs w:val="18"/>
                    </w:rPr>
                  </w:pPr>
                  <w:r>
                    <w:rPr>
                      <w:rFonts w:ascii="Times New Roman" w:hAnsi="Times New Roman" w:cs="Times New Roman"/>
                      <w:sz w:val="18"/>
                      <w:szCs w:val="18"/>
                    </w:rPr>
                    <w:t>/</w:t>
                  </w:r>
                </w:p>
              </w:tc>
              <w:tc>
                <w:tcPr>
                  <w:tcW w:w="1178"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1.38×10</w:t>
                  </w:r>
                  <w:r>
                    <w:rPr>
                      <w:rFonts w:ascii="Times New Roman" w:hAnsi="Times New Roman" w:eastAsia="宋体" w:cs="Times New Roman"/>
                      <w:szCs w:val="21"/>
                      <w:vertAlign w:val="superscript"/>
                    </w:rPr>
                    <w:t>-2</w:t>
                  </w:r>
                </w:p>
              </w:tc>
              <w:tc>
                <w:tcPr>
                  <w:tcW w:w="2616" w:type="dxa"/>
                  <w:vMerge w:val="restart"/>
                  <w:vAlign w:val="center"/>
                </w:tcPr>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1、将沉淀池、污泥池等产生硫化氢、氨等进行加盖密闭处理，并定期喷洒除臭剂；</w:t>
                  </w:r>
                </w:p>
                <w:p>
                  <w:pPr>
                    <w:adjustRightInd w:val="0"/>
                    <w:rPr>
                      <w:rFonts w:ascii="Times New Roman" w:hAnsi="Times New Roman" w:eastAsia="宋体" w:cs="Times New Roman"/>
                      <w:color w:val="000000"/>
                      <w:szCs w:val="21"/>
                    </w:rPr>
                  </w:pPr>
                  <w:r>
                    <w:rPr>
                      <w:rFonts w:ascii="Times New Roman" w:hAnsi="Times New Roman" w:eastAsia="宋体" w:cs="Times New Roman"/>
                      <w:color w:val="000000"/>
                      <w:szCs w:val="21"/>
                    </w:rPr>
                    <w:t>2、厂区加强绿化，通过乔灌结合的立体绿化吸附部分恶臭，清新空气</w:t>
                  </w:r>
                </w:p>
              </w:tc>
              <w:tc>
                <w:tcPr>
                  <w:tcW w:w="707"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是</w:t>
                  </w:r>
                </w:p>
              </w:tc>
              <w:tc>
                <w:tcPr>
                  <w:tcW w:w="567" w:type="dxa"/>
                  <w:vMerge w:val="restart"/>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无组织</w:t>
                  </w:r>
                </w:p>
              </w:tc>
              <w:tc>
                <w:tcPr>
                  <w:tcW w:w="780" w:type="dxa"/>
                  <w:vMerge w:val="restart"/>
                  <w:vAlign w:val="center"/>
                </w:tcPr>
                <w:p>
                  <w:pPr>
                    <w:adjustRightInd w:val="0"/>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1154"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1.38×10</w:t>
                  </w:r>
                  <w:r>
                    <w:rPr>
                      <w:rFonts w:ascii="Times New Roman" w:hAnsi="Times New Roman" w:eastAsia="宋体" w:cs="Times New Roman"/>
                      <w:szCs w:val="21"/>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7" w:hRule="atLeast"/>
                <w:jc w:val="center"/>
              </w:trPr>
              <w:tc>
                <w:tcPr>
                  <w:tcW w:w="442" w:type="dxa"/>
                  <w:vMerge w:val="continue"/>
                  <w:vAlign w:val="center"/>
                </w:tcPr>
                <w:p>
                  <w:pPr>
                    <w:jc w:val="center"/>
                    <w:rPr>
                      <w:rFonts w:ascii="Times New Roman" w:hAnsi="Times New Roman" w:eastAsia="宋体" w:cs="Times New Roman"/>
                      <w:color w:val="000000"/>
                      <w:szCs w:val="21"/>
                    </w:rPr>
                  </w:pPr>
                </w:p>
              </w:tc>
              <w:tc>
                <w:tcPr>
                  <w:tcW w:w="479" w:type="dxa"/>
                  <w:vMerge w:val="continue"/>
                  <w:vAlign w:val="center"/>
                </w:tcPr>
                <w:p>
                  <w:pPr>
                    <w:jc w:val="center"/>
                    <w:rPr>
                      <w:rFonts w:ascii="Times New Roman" w:hAnsi="Times New Roman" w:eastAsia="宋体" w:cs="Times New Roman"/>
                      <w:color w:val="000000"/>
                      <w:szCs w:val="21"/>
                    </w:rPr>
                  </w:pPr>
                </w:p>
              </w:tc>
              <w:tc>
                <w:tcPr>
                  <w:tcW w:w="67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bCs/>
                      <w:color w:val="000000"/>
                      <w:szCs w:val="21"/>
                    </w:rPr>
                    <w:t>H</w:t>
                  </w:r>
                  <w:r>
                    <w:rPr>
                      <w:rFonts w:ascii="Times New Roman" w:hAnsi="Times New Roman" w:eastAsia="宋体" w:cs="Times New Roman"/>
                      <w:bCs/>
                      <w:color w:val="000000"/>
                      <w:szCs w:val="21"/>
                      <w:vertAlign w:val="subscript"/>
                    </w:rPr>
                    <w:t>2</w:t>
                  </w:r>
                  <w:r>
                    <w:rPr>
                      <w:rFonts w:ascii="Times New Roman" w:hAnsi="Times New Roman" w:eastAsia="宋体" w:cs="Times New Roman"/>
                      <w:bCs/>
                      <w:color w:val="000000"/>
                      <w:szCs w:val="21"/>
                    </w:rPr>
                    <w:t>S</w:t>
                  </w:r>
                </w:p>
              </w:tc>
              <w:tc>
                <w:tcPr>
                  <w:tcW w:w="985" w:type="dxa"/>
                  <w:vAlign w:val="center"/>
                </w:tcPr>
                <w:p>
                  <w:pPr>
                    <w:adjustRightInd w:val="0"/>
                    <w:jc w:val="center"/>
                    <w:rPr>
                      <w:rFonts w:ascii="Times New Roman" w:hAnsi="Times New Roman" w:cs="Times New Roman"/>
                      <w:sz w:val="18"/>
                      <w:szCs w:val="18"/>
                    </w:rPr>
                  </w:pPr>
                  <w:r>
                    <w:rPr>
                      <w:rFonts w:ascii="Times New Roman" w:hAnsi="Times New Roman" w:cs="Times New Roman"/>
                      <w:sz w:val="18"/>
                      <w:szCs w:val="18"/>
                    </w:rPr>
                    <w:t>/</w:t>
                  </w:r>
                </w:p>
              </w:tc>
              <w:tc>
                <w:tcPr>
                  <w:tcW w:w="1178"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5.35×10</w:t>
                  </w:r>
                  <w:r>
                    <w:rPr>
                      <w:rFonts w:ascii="Times New Roman" w:hAnsi="Times New Roman" w:eastAsia="宋体" w:cs="Times New Roman"/>
                      <w:szCs w:val="21"/>
                      <w:vertAlign w:val="superscript"/>
                    </w:rPr>
                    <w:t>-4</w:t>
                  </w:r>
                </w:p>
              </w:tc>
              <w:tc>
                <w:tcPr>
                  <w:tcW w:w="2616" w:type="dxa"/>
                  <w:vMerge w:val="continue"/>
                  <w:vAlign w:val="center"/>
                </w:tcPr>
                <w:p>
                  <w:pPr>
                    <w:adjustRightInd w:val="0"/>
                    <w:jc w:val="center"/>
                    <w:rPr>
                      <w:rFonts w:ascii="Times New Roman" w:hAnsi="Times New Roman" w:eastAsia="宋体" w:cs="Times New Roman"/>
                      <w:color w:val="000000"/>
                      <w:szCs w:val="21"/>
                    </w:rPr>
                  </w:pPr>
                </w:p>
              </w:tc>
              <w:tc>
                <w:tcPr>
                  <w:tcW w:w="707" w:type="dxa"/>
                  <w:vMerge w:val="continue"/>
                  <w:vAlign w:val="center"/>
                </w:tcPr>
                <w:p>
                  <w:pPr>
                    <w:adjustRightInd w:val="0"/>
                    <w:jc w:val="center"/>
                    <w:rPr>
                      <w:rFonts w:ascii="Times New Roman" w:hAnsi="Times New Roman" w:eastAsia="宋体" w:cs="Times New Roman"/>
                      <w:color w:val="000000"/>
                      <w:szCs w:val="21"/>
                    </w:rPr>
                  </w:pPr>
                </w:p>
              </w:tc>
              <w:tc>
                <w:tcPr>
                  <w:tcW w:w="567" w:type="dxa"/>
                  <w:vMerge w:val="continue"/>
                  <w:vAlign w:val="center"/>
                </w:tcPr>
                <w:p>
                  <w:pPr>
                    <w:adjustRightInd w:val="0"/>
                    <w:jc w:val="center"/>
                    <w:rPr>
                      <w:rFonts w:ascii="Times New Roman" w:hAnsi="Times New Roman" w:eastAsia="宋体" w:cs="Times New Roman"/>
                      <w:color w:val="000000"/>
                      <w:szCs w:val="21"/>
                    </w:rPr>
                  </w:pPr>
                </w:p>
              </w:tc>
              <w:tc>
                <w:tcPr>
                  <w:tcW w:w="780" w:type="dxa"/>
                  <w:vMerge w:val="continue"/>
                  <w:vAlign w:val="center"/>
                </w:tcPr>
                <w:p>
                  <w:pPr>
                    <w:adjustRightInd w:val="0"/>
                    <w:jc w:val="center"/>
                    <w:rPr>
                      <w:rFonts w:ascii="Times New Roman" w:hAnsi="Times New Roman" w:eastAsia="宋体" w:cs="Times New Roman"/>
                      <w:sz w:val="18"/>
                      <w:szCs w:val="18"/>
                    </w:rPr>
                  </w:pPr>
                </w:p>
              </w:tc>
              <w:tc>
                <w:tcPr>
                  <w:tcW w:w="1154"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5.35×10</w:t>
                  </w:r>
                  <w:r>
                    <w:rPr>
                      <w:rFonts w:ascii="Times New Roman" w:hAnsi="Times New Roman" w:eastAsia="宋体" w:cs="Times New Roman"/>
                      <w:szCs w:val="21"/>
                      <w:vertAlign w:val="superscript"/>
                    </w:rPr>
                    <w:t>-5</w:t>
                  </w:r>
                </w:p>
              </w:tc>
            </w:tr>
          </w:tbl>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（2）排放口基本情况</w:t>
            </w:r>
          </w:p>
          <w:p>
            <w:pPr>
              <w:adjustRightInd w:val="0"/>
              <w:snapToGrid w:val="0"/>
              <w:spacing w:line="480" w:lineRule="exact"/>
              <w:jc w:val="center"/>
              <w:rPr>
                <w:rFonts w:ascii="Times New Roman" w:hAnsi="Times New Roman" w:eastAsia="黑体" w:cs="Times New Roman"/>
                <w:bCs/>
              </w:rPr>
            </w:pPr>
            <w:r>
              <w:rPr>
                <w:rFonts w:ascii="Times New Roman" w:hAnsi="Times New Roman" w:eastAsia="黑体" w:cs="Times New Roman"/>
                <w:bCs/>
              </w:rPr>
              <w:t>表18  无</w:t>
            </w:r>
            <w:r>
              <w:rPr>
                <w:rFonts w:ascii="Times New Roman" w:hAnsi="Times New Roman" w:eastAsia="黑体" w:cs="Times New Roman"/>
                <w:bCs/>
                <w:snapToGrid w:val="0"/>
                <w:kern w:val="0"/>
                <w:szCs w:val="21"/>
              </w:rPr>
              <w:t>组织排放口基本情况一览表</w:t>
            </w:r>
          </w:p>
          <w:tbl>
            <w:tblPr>
              <w:tblStyle w:val="21"/>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773"/>
              <w:gridCol w:w="1302"/>
              <w:gridCol w:w="1806"/>
              <w:gridCol w:w="1085"/>
              <w:gridCol w:w="716"/>
              <w:gridCol w:w="696"/>
              <w:gridCol w:w="758"/>
              <w:gridCol w:w="562"/>
              <w:gridCol w:w="741"/>
              <w:gridCol w:w="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6" w:hRule="atLeast"/>
              </w:trPr>
              <w:tc>
                <w:tcPr>
                  <w:tcW w:w="48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排放口编号</w:t>
                  </w:r>
                </w:p>
              </w:tc>
              <w:tc>
                <w:tcPr>
                  <w:tcW w:w="77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污染物名称</w:t>
                  </w:r>
                </w:p>
              </w:tc>
              <w:tc>
                <w:tcPr>
                  <w:tcW w:w="1302" w:type="dxa"/>
                  <w:vAlign w:val="center"/>
                </w:tcPr>
                <w:p>
                  <w:pPr>
                    <w:jc w:val="center"/>
                    <w:rPr>
                      <w:rFonts w:ascii="Times New Roman" w:hAnsi="Times New Roman" w:cs="Times New Roman"/>
                      <w:szCs w:val="21"/>
                    </w:rPr>
                  </w:pPr>
                  <w:r>
                    <w:rPr>
                      <w:rFonts w:ascii="Times New Roman" w:hAnsi="Times New Roman" w:cs="Times New Roman"/>
                      <w:szCs w:val="21"/>
                    </w:rPr>
                    <w:t>排放</w:t>
                  </w:r>
                </w:p>
                <w:p>
                  <w:pPr>
                    <w:jc w:val="center"/>
                    <w:rPr>
                      <w:rFonts w:ascii="Times New Roman" w:hAnsi="Times New Roman" w:cs="Times New Roman"/>
                      <w:szCs w:val="21"/>
                    </w:rPr>
                  </w:pPr>
                  <w:r>
                    <w:rPr>
                      <w:rFonts w:ascii="Times New Roman" w:hAnsi="Times New Roman" w:cs="Times New Roman"/>
                      <w:szCs w:val="21"/>
                    </w:rPr>
                    <w:t>速率</w:t>
                  </w:r>
                </w:p>
                <w:p>
                  <w:pPr>
                    <w:jc w:val="center"/>
                    <w:rPr>
                      <w:rFonts w:ascii="Times New Roman" w:hAnsi="Times New Roman" w:cs="Times New Roman"/>
                      <w:szCs w:val="21"/>
                    </w:rPr>
                  </w:pPr>
                  <w:r>
                    <w:rPr>
                      <w:rFonts w:ascii="Times New Roman" w:hAnsi="Times New Roman" w:eastAsia="宋体" w:cs="Times New Roman"/>
                      <w:sz w:val="18"/>
                      <w:szCs w:val="18"/>
                    </w:rPr>
                    <w:t>kg/h</w:t>
                  </w:r>
                </w:p>
              </w:tc>
              <w:tc>
                <w:tcPr>
                  <w:tcW w:w="1806" w:type="dxa"/>
                  <w:vAlign w:val="center"/>
                </w:tcPr>
                <w:p>
                  <w:pPr>
                    <w:jc w:val="center"/>
                    <w:rPr>
                      <w:rFonts w:ascii="Times New Roman" w:hAnsi="Times New Roman" w:cs="Times New Roman"/>
                      <w:szCs w:val="21"/>
                    </w:rPr>
                  </w:pPr>
                  <w:r>
                    <w:rPr>
                      <w:rFonts w:ascii="Times New Roman" w:hAnsi="Times New Roman" w:cs="Times New Roman"/>
                      <w:szCs w:val="21"/>
                    </w:rPr>
                    <w:t>面源起点坐标</w:t>
                  </w:r>
                </w:p>
              </w:tc>
              <w:tc>
                <w:tcPr>
                  <w:tcW w:w="1085" w:type="dxa"/>
                  <w:vAlign w:val="center"/>
                </w:tcPr>
                <w:p>
                  <w:pPr>
                    <w:jc w:val="center"/>
                    <w:rPr>
                      <w:rFonts w:ascii="Times New Roman" w:hAnsi="Times New Roman" w:cs="Times New Roman"/>
                      <w:szCs w:val="21"/>
                    </w:rPr>
                  </w:pPr>
                  <w:r>
                    <w:rPr>
                      <w:rFonts w:ascii="Times New Roman" w:hAnsi="Times New Roman" w:cs="Times New Roman"/>
                      <w:szCs w:val="21"/>
                    </w:rPr>
                    <w:t>面源海拔高度</w:t>
                  </w:r>
                </w:p>
              </w:tc>
              <w:tc>
                <w:tcPr>
                  <w:tcW w:w="716" w:type="dxa"/>
                  <w:vAlign w:val="center"/>
                </w:tcPr>
                <w:p>
                  <w:pPr>
                    <w:jc w:val="center"/>
                    <w:rPr>
                      <w:rFonts w:ascii="Times New Roman" w:hAnsi="Times New Roman" w:cs="Times New Roman"/>
                      <w:szCs w:val="21"/>
                    </w:rPr>
                  </w:pPr>
                  <w:r>
                    <w:rPr>
                      <w:rFonts w:ascii="Times New Roman" w:hAnsi="Times New Roman" w:cs="Times New Roman"/>
                      <w:szCs w:val="21"/>
                    </w:rPr>
                    <w:t>面源长度</w:t>
                  </w:r>
                </w:p>
              </w:tc>
              <w:tc>
                <w:tcPr>
                  <w:tcW w:w="696" w:type="dxa"/>
                  <w:vAlign w:val="center"/>
                </w:tcPr>
                <w:p>
                  <w:pPr>
                    <w:jc w:val="center"/>
                    <w:rPr>
                      <w:rFonts w:ascii="Times New Roman" w:hAnsi="Times New Roman" w:cs="Times New Roman"/>
                      <w:szCs w:val="21"/>
                    </w:rPr>
                  </w:pPr>
                  <w:r>
                    <w:rPr>
                      <w:rFonts w:ascii="Times New Roman" w:hAnsi="Times New Roman" w:cs="Times New Roman"/>
                      <w:color w:val="000000"/>
                      <w:szCs w:val="21"/>
                    </w:rPr>
                    <w:t>面源宽度</w:t>
                  </w:r>
                </w:p>
              </w:tc>
              <w:tc>
                <w:tcPr>
                  <w:tcW w:w="758" w:type="dxa"/>
                  <w:vAlign w:val="center"/>
                </w:tcPr>
                <w:p>
                  <w:pPr>
                    <w:jc w:val="center"/>
                    <w:rPr>
                      <w:rFonts w:ascii="Times New Roman" w:hAnsi="Times New Roman" w:cs="Times New Roman"/>
                      <w:szCs w:val="21"/>
                    </w:rPr>
                  </w:pPr>
                  <w:r>
                    <w:rPr>
                      <w:rFonts w:ascii="Times New Roman" w:hAnsi="Times New Roman" w:cs="Times New Roman"/>
                      <w:color w:val="000000"/>
                      <w:szCs w:val="21"/>
                    </w:rPr>
                    <w:t>面源有效排放高度</w:t>
                  </w:r>
                </w:p>
              </w:tc>
              <w:tc>
                <w:tcPr>
                  <w:tcW w:w="562" w:type="dxa"/>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与正北方向夹角</w:t>
                  </w:r>
                </w:p>
              </w:tc>
              <w:tc>
                <w:tcPr>
                  <w:tcW w:w="741" w:type="dxa"/>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年排放小时数</w:t>
                  </w:r>
                </w:p>
              </w:tc>
              <w:tc>
                <w:tcPr>
                  <w:tcW w:w="654" w:type="dxa"/>
                  <w:vAlign w:val="center"/>
                </w:tcPr>
                <w:p>
                  <w:pPr>
                    <w:jc w:val="center"/>
                    <w:rPr>
                      <w:rFonts w:ascii="Times New Roman" w:hAnsi="Times New Roman" w:cs="Times New Roman"/>
                      <w:szCs w:val="21"/>
                    </w:rPr>
                  </w:pPr>
                  <w:r>
                    <w:rPr>
                      <w:rFonts w:ascii="Times New Roman" w:hAnsi="Times New Roman" w:cs="Times New Roman"/>
                      <w:szCs w:val="21"/>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9" w:hRule="atLeast"/>
              </w:trPr>
              <w:tc>
                <w:tcPr>
                  <w:tcW w:w="488" w:type="dxa"/>
                  <w:vMerge w:val="restart"/>
                  <w:vAlign w:val="center"/>
                </w:tcPr>
                <w:p>
                  <w:pPr>
                    <w:jc w:val="center"/>
                    <w:rPr>
                      <w:rFonts w:ascii="Times New Roman" w:hAnsi="Times New Roman" w:eastAsia="宋体" w:cs="Times New Roman"/>
                      <w:szCs w:val="21"/>
                    </w:rPr>
                  </w:pPr>
                  <w:r>
                    <w:rPr>
                      <w:rFonts w:ascii="Times New Roman" w:hAnsi="Times New Roman" w:cs="Times New Roman"/>
                      <w:szCs w:val="21"/>
                    </w:rPr>
                    <w:t>01</w:t>
                  </w:r>
                </w:p>
              </w:tc>
              <w:tc>
                <w:tcPr>
                  <w:tcW w:w="77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NH</w:t>
                  </w:r>
                  <w:r>
                    <w:rPr>
                      <w:rFonts w:ascii="Times New Roman" w:hAnsi="Times New Roman" w:eastAsia="宋体" w:cs="Times New Roman"/>
                      <w:color w:val="000000"/>
                      <w:szCs w:val="21"/>
                      <w:vertAlign w:val="subscript"/>
                    </w:rPr>
                    <w:t>3</w:t>
                  </w:r>
                </w:p>
              </w:tc>
              <w:tc>
                <w:tcPr>
                  <w:tcW w:w="1302"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1.38×10</w:t>
                  </w:r>
                  <w:r>
                    <w:rPr>
                      <w:rFonts w:ascii="Times New Roman" w:hAnsi="Times New Roman" w:eastAsia="宋体" w:cs="Times New Roman"/>
                      <w:szCs w:val="21"/>
                      <w:vertAlign w:val="superscript"/>
                    </w:rPr>
                    <w:t>-3</w:t>
                  </w:r>
                </w:p>
              </w:tc>
              <w:tc>
                <w:tcPr>
                  <w:tcW w:w="1806" w:type="dxa"/>
                  <w:vMerge w:val="restart"/>
                  <w:vAlign w:val="center"/>
                </w:tcPr>
                <w:p>
                  <w:pPr>
                    <w:jc w:val="center"/>
                    <w:rPr>
                      <w:rFonts w:ascii="Times New Roman" w:hAnsi="Times New Roman" w:cs="Times New Roman"/>
                      <w:szCs w:val="21"/>
                    </w:rPr>
                  </w:pPr>
                  <w:r>
                    <w:rPr>
                      <w:rFonts w:ascii="Times New Roman" w:hAnsi="Times New Roman" w:cs="Times New Roman"/>
                      <w:szCs w:val="21"/>
                    </w:rPr>
                    <w:t>110°49′37.48″E</w:t>
                  </w:r>
                </w:p>
                <w:p>
                  <w:pPr>
                    <w:jc w:val="center"/>
                    <w:rPr>
                      <w:rFonts w:ascii="Times New Roman" w:hAnsi="Times New Roman" w:eastAsia="宋体" w:cs="Times New Roman"/>
                      <w:szCs w:val="21"/>
                    </w:rPr>
                  </w:pPr>
                  <w:r>
                    <w:rPr>
                      <w:rFonts w:ascii="Times New Roman" w:hAnsi="Times New Roman" w:cs="Times New Roman"/>
                      <w:szCs w:val="21"/>
                    </w:rPr>
                    <w:t>37°24′42.90″N</w:t>
                  </w:r>
                </w:p>
              </w:tc>
              <w:tc>
                <w:tcPr>
                  <w:tcW w:w="1085" w:type="dxa"/>
                  <w:vMerge w:val="restart"/>
                  <w:vAlign w:val="center"/>
                </w:tcPr>
                <w:p>
                  <w:pPr>
                    <w:jc w:val="center"/>
                    <w:rPr>
                      <w:rFonts w:ascii="Times New Roman" w:hAnsi="Times New Roman" w:cs="Times New Roman"/>
                      <w:szCs w:val="21"/>
                    </w:rPr>
                  </w:pPr>
                  <w:r>
                    <w:rPr>
                      <w:rFonts w:ascii="Times New Roman" w:hAnsi="Times New Roman" w:cs="Times New Roman"/>
                      <w:szCs w:val="21"/>
                    </w:rPr>
                    <w:t>846.08m</w:t>
                  </w:r>
                </w:p>
              </w:tc>
              <w:tc>
                <w:tcPr>
                  <w:tcW w:w="716" w:type="dxa"/>
                  <w:vMerge w:val="restart"/>
                  <w:vAlign w:val="center"/>
                </w:tcPr>
                <w:p>
                  <w:pPr>
                    <w:jc w:val="center"/>
                    <w:rPr>
                      <w:rFonts w:ascii="Times New Roman" w:hAnsi="Times New Roman" w:cs="Times New Roman"/>
                      <w:szCs w:val="21"/>
                    </w:rPr>
                  </w:pPr>
                  <w:r>
                    <w:rPr>
                      <w:rFonts w:ascii="Times New Roman" w:hAnsi="Times New Roman" w:cs="Times New Roman"/>
                      <w:szCs w:val="21"/>
                    </w:rPr>
                    <w:t>40m</w:t>
                  </w:r>
                </w:p>
              </w:tc>
              <w:tc>
                <w:tcPr>
                  <w:tcW w:w="696" w:type="dxa"/>
                  <w:vMerge w:val="restart"/>
                  <w:vAlign w:val="center"/>
                </w:tcPr>
                <w:p>
                  <w:pPr>
                    <w:jc w:val="center"/>
                    <w:rPr>
                      <w:rFonts w:ascii="Times New Roman" w:hAnsi="Times New Roman" w:cs="Times New Roman"/>
                      <w:szCs w:val="21"/>
                    </w:rPr>
                  </w:pPr>
                  <w:r>
                    <w:rPr>
                      <w:rFonts w:ascii="Times New Roman" w:hAnsi="Times New Roman" w:cs="Times New Roman"/>
                      <w:szCs w:val="21"/>
                    </w:rPr>
                    <w:t>20m</w:t>
                  </w:r>
                </w:p>
              </w:tc>
              <w:tc>
                <w:tcPr>
                  <w:tcW w:w="758" w:type="dxa"/>
                  <w:vMerge w:val="restart"/>
                  <w:vAlign w:val="center"/>
                </w:tcPr>
                <w:p>
                  <w:pPr>
                    <w:jc w:val="center"/>
                    <w:rPr>
                      <w:rFonts w:ascii="Times New Roman" w:hAnsi="Times New Roman" w:cs="Times New Roman"/>
                      <w:szCs w:val="21"/>
                    </w:rPr>
                  </w:pPr>
                  <w:r>
                    <w:rPr>
                      <w:rFonts w:ascii="Times New Roman" w:hAnsi="Times New Roman" w:cs="Times New Roman"/>
                      <w:szCs w:val="21"/>
                    </w:rPr>
                    <w:t>4.5m</w:t>
                  </w:r>
                </w:p>
              </w:tc>
              <w:tc>
                <w:tcPr>
                  <w:tcW w:w="562" w:type="dxa"/>
                  <w:vMerge w:val="restart"/>
                  <w:vAlign w:val="center"/>
                </w:tcPr>
                <w:p>
                  <w:pPr>
                    <w:jc w:val="center"/>
                    <w:rPr>
                      <w:rFonts w:ascii="Times New Roman" w:hAnsi="Times New Roman" w:cs="Times New Roman"/>
                      <w:szCs w:val="21"/>
                    </w:rPr>
                  </w:pPr>
                  <w:r>
                    <w:rPr>
                      <w:rFonts w:ascii="Times New Roman" w:hAnsi="Times New Roman" w:cs="Times New Roman"/>
                      <w:szCs w:val="21"/>
                    </w:rPr>
                    <w:t>0°</w:t>
                  </w:r>
                </w:p>
              </w:tc>
              <w:tc>
                <w:tcPr>
                  <w:tcW w:w="741" w:type="dxa"/>
                  <w:vMerge w:val="restart"/>
                  <w:vAlign w:val="center"/>
                </w:tcPr>
                <w:p>
                  <w:pPr>
                    <w:jc w:val="center"/>
                    <w:rPr>
                      <w:rFonts w:ascii="Times New Roman" w:hAnsi="Times New Roman" w:cs="Times New Roman"/>
                      <w:szCs w:val="21"/>
                    </w:rPr>
                  </w:pPr>
                  <w:r>
                    <w:rPr>
                      <w:rFonts w:ascii="Times New Roman" w:hAnsi="Times New Roman" w:cs="Times New Roman"/>
                      <w:szCs w:val="21"/>
                    </w:rPr>
                    <w:t>2400h</w:t>
                  </w:r>
                </w:p>
              </w:tc>
              <w:tc>
                <w:tcPr>
                  <w:tcW w:w="654" w:type="dxa"/>
                  <w:vMerge w:val="restart"/>
                  <w:vAlign w:val="center"/>
                </w:tcPr>
                <w:p>
                  <w:pPr>
                    <w:jc w:val="center"/>
                    <w:rPr>
                      <w:rFonts w:ascii="Times New Roman" w:hAnsi="Times New Roman" w:cs="Times New Roman"/>
                      <w:szCs w:val="21"/>
                    </w:rPr>
                  </w:pPr>
                  <w:r>
                    <w:rPr>
                      <w:rFonts w:ascii="Times New Roman" w:hAnsi="Times New Roman" w:cs="Times New Roman"/>
                      <w:szCs w:val="21"/>
                    </w:rPr>
                    <w:t>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9" w:hRule="atLeast"/>
              </w:trPr>
              <w:tc>
                <w:tcPr>
                  <w:tcW w:w="488" w:type="dxa"/>
                  <w:vMerge w:val="continue"/>
                  <w:vAlign w:val="center"/>
                </w:tcPr>
                <w:p>
                  <w:pPr>
                    <w:jc w:val="center"/>
                    <w:rPr>
                      <w:rFonts w:ascii="Times New Roman" w:hAnsi="Times New Roman" w:cs="Times New Roman"/>
                      <w:szCs w:val="21"/>
                    </w:rPr>
                  </w:pPr>
                </w:p>
              </w:tc>
              <w:tc>
                <w:tcPr>
                  <w:tcW w:w="77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bCs/>
                      <w:color w:val="000000"/>
                      <w:szCs w:val="21"/>
                    </w:rPr>
                    <w:t>H</w:t>
                  </w:r>
                  <w:r>
                    <w:rPr>
                      <w:rFonts w:ascii="Times New Roman" w:hAnsi="Times New Roman" w:eastAsia="宋体" w:cs="Times New Roman"/>
                      <w:bCs/>
                      <w:color w:val="000000"/>
                      <w:szCs w:val="21"/>
                      <w:vertAlign w:val="subscript"/>
                    </w:rPr>
                    <w:t>2</w:t>
                  </w:r>
                  <w:r>
                    <w:rPr>
                      <w:rFonts w:ascii="Times New Roman" w:hAnsi="Times New Roman" w:eastAsia="宋体" w:cs="Times New Roman"/>
                      <w:bCs/>
                      <w:color w:val="000000"/>
                      <w:szCs w:val="21"/>
                    </w:rPr>
                    <w:t>S</w:t>
                  </w:r>
                </w:p>
              </w:tc>
              <w:tc>
                <w:tcPr>
                  <w:tcW w:w="1302" w:type="dxa"/>
                  <w:vAlign w:val="center"/>
                </w:tcPr>
                <w:p>
                  <w:pPr>
                    <w:jc w:val="center"/>
                    <w:rPr>
                      <w:rFonts w:ascii="Times New Roman" w:hAnsi="Times New Roman" w:cs="Times New Roman"/>
                      <w:sz w:val="18"/>
                      <w:szCs w:val="18"/>
                      <w:highlight w:val="yellow"/>
                    </w:rPr>
                  </w:pPr>
                  <w:r>
                    <w:rPr>
                      <w:rFonts w:ascii="Times New Roman" w:hAnsi="Times New Roman" w:eastAsia="宋体" w:cs="Times New Roman"/>
                      <w:szCs w:val="21"/>
                    </w:rPr>
                    <w:t>5.35×10</w:t>
                  </w:r>
                  <w:r>
                    <w:rPr>
                      <w:rFonts w:ascii="Times New Roman" w:hAnsi="Times New Roman" w:eastAsia="宋体" w:cs="Times New Roman"/>
                      <w:szCs w:val="21"/>
                      <w:vertAlign w:val="superscript"/>
                    </w:rPr>
                    <w:t>-5</w:t>
                  </w:r>
                </w:p>
              </w:tc>
              <w:tc>
                <w:tcPr>
                  <w:tcW w:w="1806" w:type="dxa"/>
                  <w:vMerge w:val="continue"/>
                  <w:vAlign w:val="center"/>
                </w:tcPr>
                <w:p>
                  <w:pPr>
                    <w:jc w:val="center"/>
                    <w:rPr>
                      <w:rFonts w:ascii="Times New Roman" w:hAnsi="Times New Roman" w:cs="Times New Roman"/>
                      <w:szCs w:val="21"/>
                    </w:rPr>
                  </w:pPr>
                </w:p>
              </w:tc>
              <w:tc>
                <w:tcPr>
                  <w:tcW w:w="1085" w:type="dxa"/>
                  <w:vMerge w:val="continue"/>
                  <w:vAlign w:val="center"/>
                </w:tcPr>
                <w:p>
                  <w:pPr>
                    <w:jc w:val="center"/>
                    <w:rPr>
                      <w:rFonts w:ascii="Times New Roman" w:hAnsi="Times New Roman" w:cs="Times New Roman"/>
                      <w:szCs w:val="21"/>
                    </w:rPr>
                  </w:pPr>
                </w:p>
              </w:tc>
              <w:tc>
                <w:tcPr>
                  <w:tcW w:w="716" w:type="dxa"/>
                  <w:vMerge w:val="continue"/>
                  <w:vAlign w:val="center"/>
                </w:tcPr>
                <w:p>
                  <w:pPr>
                    <w:jc w:val="center"/>
                    <w:rPr>
                      <w:rFonts w:ascii="Times New Roman" w:hAnsi="Times New Roman" w:cs="Times New Roman"/>
                      <w:szCs w:val="21"/>
                    </w:rPr>
                  </w:pPr>
                </w:p>
              </w:tc>
              <w:tc>
                <w:tcPr>
                  <w:tcW w:w="696" w:type="dxa"/>
                  <w:vMerge w:val="continue"/>
                  <w:vAlign w:val="center"/>
                </w:tcPr>
                <w:p>
                  <w:pPr>
                    <w:jc w:val="center"/>
                    <w:rPr>
                      <w:rFonts w:ascii="Times New Roman" w:hAnsi="Times New Roman" w:cs="Times New Roman"/>
                      <w:szCs w:val="21"/>
                    </w:rPr>
                  </w:pPr>
                </w:p>
              </w:tc>
              <w:tc>
                <w:tcPr>
                  <w:tcW w:w="758" w:type="dxa"/>
                  <w:vMerge w:val="continue"/>
                  <w:vAlign w:val="center"/>
                </w:tcPr>
                <w:p>
                  <w:pPr>
                    <w:jc w:val="center"/>
                    <w:rPr>
                      <w:rFonts w:ascii="Times New Roman" w:hAnsi="Times New Roman" w:cs="Times New Roman"/>
                      <w:szCs w:val="21"/>
                    </w:rPr>
                  </w:pPr>
                </w:p>
              </w:tc>
              <w:tc>
                <w:tcPr>
                  <w:tcW w:w="562" w:type="dxa"/>
                  <w:vMerge w:val="continue"/>
                  <w:vAlign w:val="center"/>
                </w:tcPr>
                <w:p>
                  <w:pPr>
                    <w:jc w:val="center"/>
                    <w:rPr>
                      <w:rFonts w:ascii="Times New Roman" w:hAnsi="Times New Roman" w:cs="Times New Roman"/>
                      <w:szCs w:val="21"/>
                    </w:rPr>
                  </w:pPr>
                </w:p>
              </w:tc>
              <w:tc>
                <w:tcPr>
                  <w:tcW w:w="741" w:type="dxa"/>
                  <w:vMerge w:val="continue"/>
                  <w:vAlign w:val="center"/>
                </w:tcPr>
                <w:p>
                  <w:pPr>
                    <w:jc w:val="center"/>
                    <w:rPr>
                      <w:rFonts w:ascii="Times New Roman" w:hAnsi="Times New Roman" w:cs="Times New Roman"/>
                      <w:szCs w:val="21"/>
                    </w:rPr>
                  </w:pPr>
                </w:p>
              </w:tc>
              <w:tc>
                <w:tcPr>
                  <w:tcW w:w="654" w:type="dxa"/>
                  <w:vMerge w:val="continue"/>
                  <w:vAlign w:val="center"/>
                </w:tcPr>
                <w:p>
                  <w:pPr>
                    <w:jc w:val="center"/>
                    <w:rPr>
                      <w:rFonts w:ascii="Times New Roman" w:hAnsi="Times New Roman" w:cs="Times New Roman"/>
                      <w:szCs w:val="21"/>
                    </w:rPr>
                  </w:pPr>
                </w:p>
              </w:tc>
            </w:tr>
          </w:tbl>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（3）源强核算</w:t>
            </w:r>
          </w:p>
          <w:p>
            <w:pPr>
              <w:keepNext/>
              <w:keepLines/>
              <w:spacing w:line="460" w:lineRule="exact"/>
              <w:ind w:firstLine="480" w:firstLineChars="200"/>
              <w:outlineLvl w:val="2"/>
              <w:rPr>
                <w:rFonts w:ascii="Times New Roman" w:hAnsi="Times New Roman" w:eastAsia="宋体" w:cs="Times New Roman"/>
                <w:b/>
                <w:bCs/>
                <w:sz w:val="24"/>
                <w:szCs w:val="32"/>
              </w:rPr>
            </w:pPr>
            <w:r>
              <w:rPr>
                <w:rFonts w:ascii="Times New Roman" w:hAnsi="Times New Roman" w:eastAsia="宋体" w:cs="Times New Roman"/>
                <w:sz w:val="24"/>
                <w:szCs w:val="24"/>
              </w:rPr>
              <w:t>本项目产生的废水必须经过厂区配备的废水处理站预处理后排入市政污水管网，最终至柳林县污水处理厂，污水处理设施的调节池等反应器有一定的恶臭产生，主要成分为硫化氢、氨等。</w:t>
            </w:r>
          </w:p>
          <w:p>
            <w:pPr>
              <w:spacing w:line="4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bCs/>
                <w:sz w:val="24"/>
                <w:szCs w:val="24"/>
              </w:rPr>
              <w:t>本次评价引用美国EPA对城市污水处理厂恶臭污染物产生情况的研究结论，每处理1gBOD</w:t>
            </w:r>
            <w:r>
              <w:rPr>
                <w:rFonts w:ascii="Times New Roman" w:hAnsi="Times New Roman" w:eastAsia="宋体" w:cs="Times New Roman"/>
                <w:bCs/>
                <w:sz w:val="24"/>
                <w:szCs w:val="24"/>
                <w:vertAlign w:val="subscript"/>
              </w:rPr>
              <w:t>5</w:t>
            </w:r>
            <w:r>
              <w:rPr>
                <w:rFonts w:ascii="Times New Roman" w:hAnsi="Times New Roman" w:eastAsia="宋体" w:cs="Times New Roman"/>
                <w:bCs/>
                <w:sz w:val="24"/>
                <w:szCs w:val="24"/>
              </w:rPr>
              <w:t>可产生0.0031gNH</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和0.00012gH</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S。</w:t>
            </w:r>
            <w:r>
              <w:rPr>
                <w:rFonts w:ascii="Times New Roman" w:hAnsi="Times New Roman" w:eastAsia="宋体" w:cs="Times New Roman"/>
                <w:kern w:val="0"/>
                <w:sz w:val="24"/>
                <w:szCs w:val="24"/>
              </w:rPr>
              <w:t>本项目污水日处理量为69.98m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/d，BOD</w:t>
            </w:r>
            <w:r>
              <w:rPr>
                <w:rFonts w:ascii="Times New Roman" w:hAnsi="Times New Roman" w:eastAsia="宋体" w:cs="Times New Roman"/>
                <w:kern w:val="0"/>
                <w:sz w:val="24"/>
                <w:szCs w:val="24"/>
                <w:vertAlign w:val="subscript"/>
              </w:rPr>
              <w:t>5</w:t>
            </w:r>
            <w:r>
              <w:rPr>
                <w:rFonts w:ascii="Times New Roman" w:hAnsi="Times New Roman" w:eastAsia="宋体" w:cs="Times New Roman"/>
                <w:kern w:val="0"/>
                <w:sz w:val="24"/>
                <w:szCs w:val="24"/>
              </w:rPr>
              <w:t>进水浓度600mg/L，出水浓度90mg/L，则去除BOD</w:t>
            </w:r>
            <w:r>
              <w:rPr>
                <w:rFonts w:ascii="Times New Roman" w:hAnsi="Times New Roman" w:eastAsia="宋体" w:cs="Times New Roman"/>
                <w:kern w:val="0"/>
                <w:sz w:val="24"/>
                <w:szCs w:val="24"/>
                <w:vertAlign w:val="subscript"/>
              </w:rPr>
              <w:t>5</w:t>
            </w:r>
            <w:r>
              <w:rPr>
                <w:rFonts w:ascii="Times New Roman" w:hAnsi="Times New Roman" w:eastAsia="宋体" w:cs="Times New Roman"/>
                <w:kern w:val="0"/>
                <w:sz w:val="24"/>
                <w:szCs w:val="24"/>
              </w:rPr>
              <w:t>的量为35.69kg/d。本项目污水处理站恶臭产生情况见表19。</w:t>
            </w:r>
          </w:p>
          <w:p>
            <w:pPr>
              <w:adjustRightInd w:val="0"/>
              <w:spacing w:line="300" w:lineRule="auto"/>
              <w:jc w:val="center"/>
              <w:textAlignment w:val="baseline"/>
              <w:rPr>
                <w:rFonts w:ascii="Times New Roman" w:hAnsi="Times New Roman" w:eastAsia="宋体" w:cs="Times New Roman"/>
                <w:szCs w:val="21"/>
              </w:rPr>
            </w:pPr>
            <w:r>
              <w:rPr>
                <w:rFonts w:ascii="Times New Roman" w:hAnsi="Times New Roman" w:eastAsia="宋体" w:cs="Times New Roman"/>
                <w:szCs w:val="21"/>
              </w:rPr>
              <w:t>表19  污水处理恶臭污染物产生情况</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3964"/>
              <w:gridCol w:w="1805"/>
              <w:gridCol w:w="1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65" w:type="dxa"/>
                  <w:vMerge w:val="restart"/>
                  <w:tcBorders>
                    <w:top w:val="single" w:color="auto" w:sz="4" w:space="0"/>
                    <w:left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3964" w:type="dxa"/>
                  <w:vMerge w:val="restart"/>
                  <w:tcBorders>
                    <w:top w:val="single" w:color="auto" w:sz="4" w:space="0"/>
                    <w:left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产生系数</w:t>
                  </w:r>
                </w:p>
              </w:tc>
              <w:tc>
                <w:tcPr>
                  <w:tcW w:w="3752" w:type="dxa"/>
                  <w:gridSpan w:val="2"/>
                  <w:tcBorders>
                    <w:top w:val="single" w:color="auto" w:sz="4" w:space="0"/>
                    <w:left w:val="single" w:color="auto" w:sz="4" w:space="0"/>
                    <w:bottom w:val="single" w:color="auto" w:sz="4" w:space="0"/>
                    <w:right w:val="single" w:color="auto" w:sz="4" w:space="0"/>
                  </w:tcBorders>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65" w:type="dxa"/>
                  <w:vMerge w:val="continue"/>
                  <w:tcBorders>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p>
              </w:tc>
              <w:tc>
                <w:tcPr>
                  <w:tcW w:w="3964" w:type="dxa"/>
                  <w:vMerge w:val="continue"/>
                  <w:tcBorders>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p>
              </w:tc>
              <w:tc>
                <w:tcPr>
                  <w:tcW w:w="1805" w:type="dxa"/>
                  <w:tcBorders>
                    <w:top w:val="single" w:color="auto" w:sz="4" w:space="0"/>
                    <w:left w:val="single" w:color="auto" w:sz="4" w:space="0"/>
                    <w:bottom w:val="single" w:color="auto" w:sz="4" w:space="0"/>
                    <w:right w:val="single" w:color="auto" w:sz="4" w:space="0"/>
                  </w:tcBorders>
                </w:tcPr>
                <w:p>
                  <w:pPr>
                    <w:spacing w:line="300" w:lineRule="exact"/>
                    <w:jc w:val="center"/>
                    <w:rPr>
                      <w:rFonts w:ascii="Times New Roman" w:hAnsi="Times New Roman" w:eastAsia="宋体" w:cs="Times New Roman"/>
                      <w:szCs w:val="21"/>
                    </w:rPr>
                  </w:pPr>
                  <w:r>
                    <w:rPr>
                      <w:rFonts w:ascii="Times New Roman" w:hAnsi="Times New Roman" w:eastAsia="宋体" w:cs="Times New Roman"/>
                      <w:kern w:val="0"/>
                      <w:szCs w:val="21"/>
                    </w:rPr>
                    <w:t>kg/h</w:t>
                  </w:r>
                </w:p>
              </w:tc>
              <w:tc>
                <w:tcPr>
                  <w:tcW w:w="1947"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9" w:hRule="atLeast"/>
                <w:jc w:val="center"/>
              </w:trPr>
              <w:tc>
                <w:tcPr>
                  <w:tcW w:w="18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硫化氢</w:t>
                  </w:r>
                </w:p>
              </w:tc>
              <w:tc>
                <w:tcPr>
                  <w:tcW w:w="396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0.00012g/gBOD</w:t>
                  </w:r>
                </w:p>
              </w:tc>
              <w:tc>
                <w:tcPr>
                  <w:tcW w:w="180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szCs w:val="21"/>
                    </w:rPr>
                  </w:pPr>
                  <w:r>
                    <w:rPr>
                      <w:rFonts w:ascii="Times New Roman" w:hAnsi="Times New Roman" w:eastAsia="宋体" w:cs="Times New Roman"/>
                      <w:szCs w:val="21"/>
                    </w:rPr>
                    <w:t>5.35×10</w:t>
                  </w:r>
                  <w:r>
                    <w:rPr>
                      <w:rFonts w:ascii="Times New Roman" w:hAnsi="Times New Roman" w:eastAsia="宋体" w:cs="Times New Roman"/>
                      <w:szCs w:val="21"/>
                      <w:vertAlign w:val="superscript"/>
                    </w:rPr>
                    <w:t>-4</w:t>
                  </w:r>
                </w:p>
              </w:tc>
              <w:tc>
                <w:tcPr>
                  <w:tcW w:w="194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1.28×10</w:t>
                  </w:r>
                  <w:r>
                    <w:rPr>
                      <w:rFonts w:ascii="Times New Roman" w:hAnsi="Times New Roman" w:eastAsia="宋体" w:cs="Times New Roman"/>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氨</w:t>
                  </w:r>
                </w:p>
              </w:tc>
              <w:tc>
                <w:tcPr>
                  <w:tcW w:w="3964"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0.0031g/gBOD</w:t>
                  </w:r>
                </w:p>
              </w:tc>
              <w:tc>
                <w:tcPr>
                  <w:tcW w:w="180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szCs w:val="21"/>
                    </w:rPr>
                  </w:pPr>
                  <w:r>
                    <w:rPr>
                      <w:rFonts w:ascii="Times New Roman" w:hAnsi="Times New Roman" w:eastAsia="宋体" w:cs="Times New Roman"/>
                      <w:szCs w:val="21"/>
                    </w:rPr>
                    <w:t>1.38×10</w:t>
                  </w:r>
                  <w:r>
                    <w:rPr>
                      <w:rFonts w:ascii="Times New Roman" w:hAnsi="Times New Roman" w:eastAsia="宋体" w:cs="Times New Roman"/>
                      <w:szCs w:val="21"/>
                      <w:vertAlign w:val="superscript"/>
                    </w:rPr>
                    <w:t>-2</w:t>
                  </w:r>
                </w:p>
              </w:tc>
              <w:tc>
                <w:tcPr>
                  <w:tcW w:w="1947"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0.03</w:t>
                  </w:r>
                </w:p>
              </w:tc>
            </w:tr>
          </w:tbl>
          <w:p>
            <w:pPr>
              <w:autoSpaceDE w:val="0"/>
              <w:autoSpaceDN w:val="0"/>
              <w:spacing w:line="480" w:lineRule="exact"/>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为了减少污水处理站恶臭废气的排放，污水处理站调节池、沉淀池等构筑物加盖密闭，定期对各个收集池喷洒除臭剂，加强污水处理站周围绿化。采取以上措施后，恶臭可减少90%。则NH</w:t>
            </w:r>
            <w:r>
              <w:rPr>
                <w:rFonts w:ascii="Times New Roman" w:hAnsi="Times New Roman" w:eastAsia="宋体" w:cs="Times New Roman"/>
                <w:bCs/>
                <w:color w:val="000000"/>
                <w:sz w:val="24"/>
                <w:szCs w:val="24"/>
                <w:vertAlign w:val="subscript"/>
              </w:rPr>
              <w:t>3</w:t>
            </w:r>
            <w:r>
              <w:rPr>
                <w:rFonts w:ascii="Times New Roman" w:hAnsi="Times New Roman" w:eastAsia="宋体" w:cs="Times New Roman"/>
                <w:bCs/>
                <w:color w:val="000000"/>
                <w:sz w:val="24"/>
                <w:szCs w:val="24"/>
              </w:rPr>
              <w:t>的排放速率为1.38×10</w:t>
            </w:r>
            <w:r>
              <w:rPr>
                <w:rFonts w:ascii="Times New Roman" w:hAnsi="Times New Roman" w:eastAsia="宋体" w:cs="Times New Roman"/>
                <w:bCs/>
                <w:color w:val="000000"/>
                <w:sz w:val="24"/>
                <w:szCs w:val="24"/>
                <w:vertAlign w:val="superscript"/>
              </w:rPr>
              <w:t>-3</w:t>
            </w:r>
            <w:r>
              <w:rPr>
                <w:rFonts w:ascii="Times New Roman" w:hAnsi="Times New Roman" w:eastAsia="宋体" w:cs="Times New Roman"/>
                <w:bCs/>
                <w:color w:val="000000"/>
                <w:sz w:val="24"/>
                <w:szCs w:val="24"/>
              </w:rPr>
              <w:t>kg/h，H</w:t>
            </w:r>
            <w:r>
              <w:rPr>
                <w:rFonts w:ascii="Times New Roman" w:hAnsi="Times New Roman" w:eastAsia="宋体" w:cs="Times New Roman"/>
                <w:bCs/>
                <w:color w:val="000000"/>
                <w:sz w:val="24"/>
                <w:szCs w:val="24"/>
                <w:vertAlign w:val="subscript"/>
              </w:rPr>
              <w:t>2</w:t>
            </w:r>
            <w:r>
              <w:rPr>
                <w:rFonts w:ascii="Times New Roman" w:hAnsi="Times New Roman" w:eastAsia="宋体" w:cs="Times New Roman"/>
                <w:bCs/>
                <w:color w:val="000000"/>
                <w:sz w:val="24"/>
                <w:szCs w:val="24"/>
              </w:rPr>
              <w:t>S的排放速率为5.35×10</w:t>
            </w:r>
            <w:r>
              <w:rPr>
                <w:rFonts w:ascii="Times New Roman" w:hAnsi="Times New Roman" w:eastAsia="宋体" w:cs="Times New Roman"/>
                <w:bCs/>
                <w:color w:val="000000"/>
                <w:sz w:val="24"/>
                <w:szCs w:val="24"/>
                <w:vertAlign w:val="superscript"/>
              </w:rPr>
              <w:t>-5</w:t>
            </w:r>
            <w:r>
              <w:rPr>
                <w:rFonts w:ascii="Times New Roman" w:hAnsi="Times New Roman" w:eastAsia="宋体" w:cs="Times New Roman"/>
                <w:bCs/>
                <w:color w:val="000000"/>
                <w:sz w:val="24"/>
                <w:szCs w:val="24"/>
              </w:rPr>
              <w:t>kg/h。</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bCs/>
                <w:color w:val="000000"/>
                <w:sz w:val="24"/>
                <w:szCs w:val="24"/>
              </w:rPr>
              <w:t>污水处理站恶臭气体经处理后满足《恶臭大气污染物排放标准》（GB14544-93）中排放标准。</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（4）监测要求</w:t>
            </w:r>
          </w:p>
          <w:p>
            <w:pPr>
              <w:spacing w:line="480" w:lineRule="exact"/>
              <w:jc w:val="center"/>
              <w:rPr>
                <w:rFonts w:ascii="Times New Roman" w:hAnsi="Times New Roman" w:eastAsia="黑体" w:cs="Times New Roman"/>
                <w:bCs/>
              </w:rPr>
            </w:pPr>
            <w:r>
              <w:rPr>
                <w:rFonts w:ascii="Times New Roman" w:hAnsi="Times New Roman" w:eastAsia="黑体" w:cs="Times New Roman"/>
                <w:bCs/>
              </w:rPr>
              <w:t>表20  环境监测计划一览表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870"/>
              <w:gridCol w:w="4760"/>
              <w:gridCol w:w="1889"/>
              <w:gridCol w:w="1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 w:hRule="atLeast"/>
                <w:jc w:val="center"/>
              </w:trPr>
              <w:tc>
                <w:tcPr>
                  <w:tcW w:w="1543" w:type="dxa"/>
                  <w:gridSpan w:val="2"/>
                  <w:vAlign w:val="center"/>
                </w:tcPr>
                <w:p>
                  <w:pPr>
                    <w:jc w:val="center"/>
                    <w:rPr>
                      <w:rFonts w:ascii="Times New Roman" w:hAnsi="Times New Roman" w:cs="Times New Roman"/>
                    </w:rPr>
                  </w:pPr>
                  <w:r>
                    <w:rPr>
                      <w:rFonts w:ascii="Times New Roman" w:hAnsi="Times New Roman" w:cs="Times New Roman"/>
                    </w:rPr>
                    <w:t>监测类别</w:t>
                  </w:r>
                </w:p>
              </w:tc>
              <w:tc>
                <w:tcPr>
                  <w:tcW w:w="4760" w:type="dxa"/>
                  <w:vAlign w:val="center"/>
                </w:tcPr>
                <w:p>
                  <w:pPr>
                    <w:jc w:val="center"/>
                    <w:rPr>
                      <w:rFonts w:ascii="Times New Roman" w:hAnsi="Times New Roman" w:cs="Times New Roman"/>
                    </w:rPr>
                  </w:pPr>
                  <w:r>
                    <w:rPr>
                      <w:rFonts w:ascii="Times New Roman" w:hAnsi="Times New Roman" w:cs="Times New Roman"/>
                    </w:rPr>
                    <w:t>监测点位</w:t>
                  </w:r>
                </w:p>
              </w:tc>
              <w:tc>
                <w:tcPr>
                  <w:tcW w:w="1889" w:type="dxa"/>
                  <w:vAlign w:val="center"/>
                </w:tcPr>
                <w:p>
                  <w:pPr>
                    <w:jc w:val="center"/>
                    <w:rPr>
                      <w:rFonts w:ascii="Times New Roman" w:hAnsi="Times New Roman" w:cs="Times New Roman"/>
                    </w:rPr>
                  </w:pPr>
                  <w:r>
                    <w:rPr>
                      <w:rFonts w:ascii="Times New Roman" w:hAnsi="Times New Roman" w:cs="Times New Roman"/>
                    </w:rPr>
                    <w:t>监测因子</w:t>
                  </w:r>
                </w:p>
              </w:tc>
              <w:tc>
                <w:tcPr>
                  <w:tcW w:w="1389" w:type="dxa"/>
                  <w:vAlign w:val="center"/>
                </w:tcPr>
                <w:p>
                  <w:pPr>
                    <w:jc w:val="center"/>
                    <w:rPr>
                      <w:rFonts w:ascii="Times New Roman" w:hAnsi="Times New Roman" w:cs="Times New Roman"/>
                    </w:rPr>
                  </w:pPr>
                  <w:r>
                    <w:rPr>
                      <w:rFonts w:ascii="Times New Roman" w:hAnsi="Times New Roman" w:cs="Times New Roma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 w:hRule="atLeast"/>
                <w:jc w:val="center"/>
              </w:trPr>
              <w:tc>
                <w:tcPr>
                  <w:tcW w:w="673" w:type="dxa"/>
                  <w:vAlign w:val="center"/>
                </w:tcPr>
                <w:p>
                  <w:pPr>
                    <w:jc w:val="center"/>
                    <w:rPr>
                      <w:rFonts w:ascii="Times New Roman" w:hAnsi="Times New Roman" w:cs="Times New Roman"/>
                    </w:rPr>
                  </w:pPr>
                  <w:r>
                    <w:rPr>
                      <w:rFonts w:ascii="Times New Roman" w:hAnsi="Times New Roman" w:cs="Times New Roman"/>
                    </w:rPr>
                    <w:t>废气</w:t>
                  </w:r>
                </w:p>
              </w:tc>
              <w:tc>
                <w:tcPr>
                  <w:tcW w:w="870" w:type="dxa"/>
                  <w:vAlign w:val="center"/>
                </w:tcPr>
                <w:p>
                  <w:pPr>
                    <w:jc w:val="center"/>
                    <w:rPr>
                      <w:rFonts w:ascii="Times New Roman" w:hAnsi="Times New Roman" w:cs="Times New Roman"/>
                    </w:rPr>
                  </w:pPr>
                  <w:r>
                    <w:rPr>
                      <w:rFonts w:ascii="Times New Roman" w:hAnsi="Times New Roman" w:cs="Times New Roman"/>
                    </w:rPr>
                    <w:t>无组织</w:t>
                  </w:r>
                </w:p>
              </w:tc>
              <w:tc>
                <w:tcPr>
                  <w:tcW w:w="4760" w:type="dxa"/>
                  <w:vAlign w:val="center"/>
                </w:tcPr>
                <w:p>
                  <w:pPr>
                    <w:jc w:val="center"/>
                    <w:rPr>
                      <w:rFonts w:ascii="Times New Roman" w:hAnsi="Times New Roman" w:cs="Times New Roman"/>
                    </w:rPr>
                  </w:pPr>
                  <w:r>
                    <w:rPr>
                      <w:rFonts w:ascii="Times New Roman" w:hAnsi="Times New Roman" w:cs="Times New Roman"/>
                    </w:rPr>
                    <w:t>厂区边界外上风向设置1个参照点、下风向设置4个监控点，共设置5个监测点位</w:t>
                  </w:r>
                </w:p>
              </w:tc>
              <w:tc>
                <w:tcPr>
                  <w:tcW w:w="1889" w:type="dxa"/>
                  <w:vAlign w:val="center"/>
                </w:tcPr>
                <w:p>
                  <w:pPr>
                    <w:jc w:val="center"/>
                    <w:rPr>
                      <w:rFonts w:ascii="Times New Roman" w:hAnsi="Times New Roman" w:cs="Times New Roman"/>
                    </w:rPr>
                  </w:pPr>
                  <w:r>
                    <w:rPr>
                      <w:rFonts w:ascii="Times New Roman" w:hAnsi="Times New Roman" w:cs="Times New Roman"/>
                      <w:bCs/>
                      <w:color w:val="000000"/>
                      <w:szCs w:val="21"/>
                    </w:rPr>
                    <w:t>H</w:t>
                  </w:r>
                  <w:r>
                    <w:rPr>
                      <w:rFonts w:ascii="Times New Roman" w:hAnsi="Times New Roman" w:cs="Times New Roman"/>
                      <w:bCs/>
                      <w:color w:val="000000"/>
                      <w:szCs w:val="21"/>
                      <w:vertAlign w:val="subscript"/>
                    </w:rPr>
                    <w:t>2</w:t>
                  </w:r>
                  <w:r>
                    <w:rPr>
                      <w:rFonts w:ascii="Times New Roman" w:hAnsi="Times New Roman" w:cs="Times New Roman"/>
                      <w:bCs/>
                      <w:color w:val="000000"/>
                      <w:szCs w:val="21"/>
                    </w:rPr>
                    <w:t>S、</w:t>
                  </w:r>
                  <w:r>
                    <w:rPr>
                      <w:rFonts w:ascii="Times New Roman" w:hAnsi="Times New Roman" w:cs="Times New Roman"/>
                      <w:color w:val="000000"/>
                      <w:szCs w:val="21"/>
                    </w:rPr>
                    <w:t>NH</w:t>
                  </w:r>
                  <w:r>
                    <w:rPr>
                      <w:rFonts w:ascii="Times New Roman" w:hAnsi="Times New Roman" w:cs="Times New Roman"/>
                      <w:color w:val="000000"/>
                      <w:szCs w:val="21"/>
                      <w:vertAlign w:val="subscript"/>
                    </w:rPr>
                    <w:t>3</w:t>
                  </w:r>
                </w:p>
              </w:tc>
              <w:tc>
                <w:tcPr>
                  <w:tcW w:w="1389" w:type="dxa"/>
                  <w:vAlign w:val="center"/>
                </w:tcPr>
                <w:p>
                  <w:pPr>
                    <w:jc w:val="center"/>
                    <w:rPr>
                      <w:rFonts w:ascii="Times New Roman" w:hAnsi="Times New Roman" w:cs="Times New Roman"/>
                    </w:rPr>
                  </w:pPr>
                  <w:r>
                    <w:rPr>
                      <w:rFonts w:ascii="Times New Roman" w:hAnsi="Times New Roman" w:cs="Times New Roman"/>
                    </w:rPr>
                    <w:t>每年1次</w:t>
                  </w:r>
                </w:p>
              </w:tc>
            </w:tr>
          </w:tbl>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（5）评价结论</w:t>
            </w:r>
          </w:p>
          <w:p>
            <w:pPr>
              <w:autoSpaceDE w:val="0"/>
              <w:autoSpaceDN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柳林县2020年环境空气质量例行监测资料可知，本项目所在区域属于环境空气质量不达标区，通过工程分析可知，本次评价针对产排污环节均提出了可行的污染治理措施，污染物均可稳定达标排放，故本项目正常工况下不会加重其所在区域环境空气受污染程度；且经现场踏勘了解，</w:t>
            </w:r>
            <w:r>
              <w:rPr>
                <w:rFonts w:ascii="Times New Roman" w:hAnsi="Times New Roman" w:eastAsia="宋体" w:cs="Times New Roman"/>
                <w:color w:val="000000"/>
                <w:sz w:val="24"/>
                <w:szCs w:val="24"/>
                <w:lang w:val="zh-CN"/>
              </w:rPr>
              <w:t>厂区边界向外延伸</w:t>
            </w:r>
            <w:r>
              <w:rPr>
                <w:rFonts w:ascii="Times New Roman" w:hAnsi="Times New Roman" w:eastAsia="宋体" w:cs="Times New Roman"/>
                <w:color w:val="000000"/>
                <w:sz w:val="24"/>
                <w:szCs w:val="24"/>
              </w:rPr>
              <w:t>500</w:t>
            </w:r>
            <w:r>
              <w:rPr>
                <w:rFonts w:ascii="Times New Roman" w:hAnsi="Times New Roman" w:eastAsia="宋体" w:cs="Times New Roman"/>
                <w:color w:val="000000"/>
                <w:sz w:val="24"/>
                <w:szCs w:val="24"/>
                <w:lang w:val="zh-CN"/>
              </w:rPr>
              <w:t>m范围内无</w:t>
            </w:r>
            <w:r>
              <w:rPr>
                <w:rFonts w:ascii="Times New Roman" w:hAnsi="Times New Roman" w:eastAsia="宋体" w:cs="Times New Roman"/>
                <w:color w:val="000000"/>
                <w:sz w:val="24"/>
                <w:szCs w:val="24"/>
              </w:rPr>
              <w:t>自然保护区、风景名胜区、居住区、文化区和农村地区中人群较集中的区域等大气环境保护目标，故本项目正常工况下影响范围内不涉及大气环境敏感目标。</w:t>
            </w:r>
          </w:p>
          <w:p>
            <w:pPr>
              <w:autoSpaceDE w:val="0"/>
              <w:autoSpaceDN w:val="0"/>
              <w:spacing w:line="480" w:lineRule="exact"/>
              <w:rPr>
                <w:rFonts w:ascii="Times New Roman" w:hAnsi="Times New Roman" w:eastAsia="宋体" w:cs="Times New Roman"/>
                <w:color w:val="FF0000"/>
                <w:sz w:val="24"/>
                <w:szCs w:val="24"/>
              </w:rPr>
            </w:pPr>
            <w:r>
              <w:rPr>
                <w:rFonts w:ascii="Times New Roman" w:hAnsi="Times New Roman" w:eastAsia="宋体" w:cs="Times New Roman"/>
                <w:color w:val="000000"/>
                <w:sz w:val="24"/>
                <w:szCs w:val="24"/>
              </w:rPr>
              <w:t>2、废水</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（1）主要污染物产生及预计排放情况</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表21 主要污染物产生及预计排放情况一览表</w:t>
            </w:r>
          </w:p>
          <w:tbl>
            <w:tblPr>
              <w:tblStyle w:val="21"/>
              <w:tblW w:w="95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636"/>
              <w:gridCol w:w="426"/>
              <w:gridCol w:w="689"/>
              <w:gridCol w:w="730"/>
              <w:gridCol w:w="671"/>
              <w:gridCol w:w="804"/>
              <w:gridCol w:w="426"/>
              <w:gridCol w:w="529"/>
              <w:gridCol w:w="924"/>
              <w:gridCol w:w="618"/>
              <w:gridCol w:w="426"/>
              <w:gridCol w:w="601"/>
              <w:gridCol w:w="671"/>
              <w:gridCol w:w="578"/>
              <w:gridCol w:w="4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0" w:hRule="atLeast"/>
                <w:jc w:val="center"/>
              </w:trPr>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63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产排污环节</w:t>
                  </w:r>
                </w:p>
              </w:tc>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废水类别</w:t>
                  </w:r>
                </w:p>
              </w:tc>
              <w:tc>
                <w:tcPr>
                  <w:tcW w:w="689"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废水产生量</w:t>
                  </w:r>
                </w:p>
                <w:p>
                  <w:pPr>
                    <w:jc w:val="center"/>
                    <w:rPr>
                      <w:rFonts w:ascii="Times New Roman" w:hAnsi="Times New Roman" w:eastAsia="宋体" w:cs="Times New Roman"/>
                      <w:szCs w:val="21"/>
                    </w:rPr>
                  </w:pP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w:t>
                  </w:r>
                  <w:r>
                    <w:rPr>
                      <w:rFonts w:hint="eastAsia" w:ascii="Times New Roman" w:hAnsi="Times New Roman" w:eastAsia="宋体" w:cs="Times New Roman"/>
                      <w:szCs w:val="21"/>
                    </w:rPr>
                    <w:t>d</w:t>
                  </w:r>
                </w:p>
              </w:tc>
              <w:tc>
                <w:tcPr>
                  <w:tcW w:w="730"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污染物种类</w:t>
                  </w:r>
                </w:p>
              </w:tc>
              <w:tc>
                <w:tcPr>
                  <w:tcW w:w="1475" w:type="dxa"/>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污染物产生浓度和产生量</w:t>
                  </w:r>
                </w:p>
              </w:tc>
              <w:tc>
                <w:tcPr>
                  <w:tcW w:w="2923" w:type="dxa"/>
                  <w:gridSpan w:val="5"/>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污染治理设施</w:t>
                  </w:r>
                </w:p>
              </w:tc>
              <w:tc>
                <w:tcPr>
                  <w:tcW w:w="601"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废水排放量</w:t>
                  </w:r>
                </w:p>
                <w:p>
                  <w:pPr>
                    <w:jc w:val="center"/>
                    <w:rPr>
                      <w:rFonts w:ascii="Times New Roman" w:hAnsi="Times New Roman" w:eastAsia="宋体" w:cs="Times New Roman"/>
                      <w:szCs w:val="21"/>
                    </w:rPr>
                  </w:pP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1249" w:type="dxa"/>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污染物排放浓度和排放量</w:t>
                  </w:r>
                </w:p>
              </w:tc>
              <w:tc>
                <w:tcPr>
                  <w:tcW w:w="426" w:type="dxa"/>
                  <w:vMerge w:val="restart"/>
                  <w:vAlign w:val="center"/>
                </w:tcPr>
                <w:p>
                  <w:pPr>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排放</w:t>
                  </w:r>
                  <w:r>
                    <w:rPr>
                      <w:rFonts w:hint="eastAsia" w:ascii="Times New Roman" w:hAnsi="Times New Roman" w:eastAsia="宋体" w:cs="Times New Roman"/>
                      <w:szCs w:val="21"/>
                      <w:lang w:val="en-US" w:eastAsia="zh-CN"/>
                    </w:rPr>
                    <w:t>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35" w:hRule="atLeast"/>
                <w:jc w:val="center"/>
              </w:trPr>
              <w:tc>
                <w:tcPr>
                  <w:tcW w:w="426" w:type="dxa"/>
                  <w:vMerge w:val="continue"/>
                  <w:vAlign w:val="center"/>
                </w:tcPr>
                <w:p>
                  <w:pPr>
                    <w:jc w:val="center"/>
                    <w:rPr>
                      <w:rFonts w:ascii="Times New Roman" w:hAnsi="Times New Roman" w:eastAsia="宋体" w:cs="Times New Roman"/>
                      <w:szCs w:val="21"/>
                    </w:rPr>
                  </w:pPr>
                </w:p>
              </w:tc>
              <w:tc>
                <w:tcPr>
                  <w:tcW w:w="636"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c>
                <w:tcPr>
                  <w:tcW w:w="689" w:type="dxa"/>
                  <w:vMerge w:val="continue"/>
                  <w:vAlign w:val="center"/>
                </w:tcPr>
                <w:p>
                  <w:pPr>
                    <w:jc w:val="center"/>
                    <w:rPr>
                      <w:rFonts w:ascii="Times New Roman" w:hAnsi="Times New Roman" w:eastAsia="宋体" w:cs="Times New Roman"/>
                      <w:szCs w:val="21"/>
                    </w:rPr>
                  </w:pPr>
                </w:p>
              </w:tc>
              <w:tc>
                <w:tcPr>
                  <w:tcW w:w="730" w:type="dxa"/>
                  <w:vMerge w:val="continue"/>
                  <w:vAlign w:val="center"/>
                </w:tcPr>
                <w:p>
                  <w:pPr>
                    <w:jc w:val="center"/>
                    <w:rPr>
                      <w:rFonts w:ascii="Times New Roman" w:hAnsi="Times New Roman" w:eastAsia="宋体" w:cs="Times New Roman"/>
                      <w:szCs w:val="21"/>
                    </w:rPr>
                  </w:pP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产生浓度</w:t>
                  </w:r>
                </w:p>
                <w:p>
                  <w:pPr>
                    <w:jc w:val="center"/>
                    <w:rPr>
                      <w:rFonts w:ascii="Times New Roman" w:hAnsi="Times New Roman" w:eastAsia="宋体" w:cs="Times New Roman"/>
                      <w:szCs w:val="21"/>
                    </w:rPr>
                  </w:pPr>
                  <w:r>
                    <w:rPr>
                      <w:rFonts w:ascii="Times New Roman" w:hAnsi="Times New Roman" w:eastAsia="宋体" w:cs="Times New Roman"/>
                      <w:szCs w:val="21"/>
                    </w:rPr>
                    <w:t>mg/L</w:t>
                  </w:r>
                </w:p>
              </w:tc>
              <w:tc>
                <w:tcPr>
                  <w:tcW w:w="80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产生量</w:t>
                  </w:r>
                </w:p>
                <w:p>
                  <w:pPr>
                    <w:jc w:val="center"/>
                    <w:rPr>
                      <w:rFonts w:ascii="Times New Roman" w:hAnsi="Times New Roman" w:eastAsia="宋体" w:cs="Times New Roman"/>
                      <w:szCs w:val="21"/>
                    </w:rPr>
                  </w:pPr>
                  <w:r>
                    <w:rPr>
                      <w:rFonts w:ascii="Times New Roman" w:hAnsi="Times New Roman" w:eastAsia="宋体" w:cs="Times New Roman"/>
                      <w:szCs w:val="21"/>
                    </w:rPr>
                    <w:t>kg/a</w:t>
                  </w:r>
                </w:p>
              </w:tc>
              <w:tc>
                <w:tcPr>
                  <w:tcW w:w="42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52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处理工艺</w:t>
                  </w:r>
                </w:p>
              </w:tc>
              <w:tc>
                <w:tcPr>
                  <w:tcW w:w="92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处理能力</w:t>
                  </w:r>
                </w:p>
              </w:tc>
              <w:tc>
                <w:tcPr>
                  <w:tcW w:w="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处理效率</w:t>
                  </w:r>
                </w:p>
              </w:tc>
              <w:tc>
                <w:tcPr>
                  <w:tcW w:w="42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是否为可行技术</w:t>
                  </w:r>
                </w:p>
              </w:tc>
              <w:tc>
                <w:tcPr>
                  <w:tcW w:w="601" w:type="dxa"/>
                  <w:vMerge w:val="continue"/>
                  <w:vAlign w:val="center"/>
                </w:tcPr>
                <w:p>
                  <w:pPr>
                    <w:jc w:val="center"/>
                    <w:rPr>
                      <w:rFonts w:ascii="Times New Roman" w:hAnsi="Times New Roman" w:eastAsia="宋体" w:cs="Times New Roman"/>
                      <w:szCs w:val="21"/>
                    </w:rPr>
                  </w:pP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排放浓度</w:t>
                  </w:r>
                </w:p>
                <w:p>
                  <w:pPr>
                    <w:jc w:val="center"/>
                    <w:rPr>
                      <w:rFonts w:ascii="Times New Roman" w:hAnsi="Times New Roman" w:eastAsia="宋体" w:cs="Times New Roman"/>
                      <w:szCs w:val="21"/>
                    </w:rPr>
                  </w:pPr>
                  <w:r>
                    <w:rPr>
                      <w:rFonts w:ascii="Times New Roman" w:hAnsi="Times New Roman" w:eastAsia="宋体" w:cs="Times New Roman"/>
                      <w:szCs w:val="21"/>
                    </w:rPr>
                    <w:t>mg/L</w:t>
                  </w:r>
                </w:p>
              </w:tc>
              <w:tc>
                <w:tcPr>
                  <w:tcW w:w="57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排放量</w:t>
                  </w:r>
                </w:p>
                <w:p>
                  <w:pPr>
                    <w:jc w:val="center"/>
                    <w:rPr>
                      <w:rFonts w:ascii="Times New Roman" w:hAnsi="Times New Roman" w:eastAsia="宋体" w:cs="Times New Roman"/>
                      <w:szCs w:val="21"/>
                    </w:rPr>
                  </w:pPr>
                  <w:r>
                    <w:rPr>
                      <w:rFonts w:ascii="Times New Roman" w:hAnsi="Times New Roman" w:eastAsia="宋体" w:cs="Times New Roman"/>
                      <w:szCs w:val="21"/>
                    </w:rPr>
                    <w:t>kg/a</w:t>
                  </w:r>
                </w:p>
              </w:tc>
              <w:tc>
                <w:tcPr>
                  <w:tcW w:w="426" w:type="dxa"/>
                  <w:vMerge w:val="continue"/>
                  <w:vAlign w:val="center"/>
                </w:tcPr>
                <w:p>
                  <w:pPr>
                    <w:jc w:val="center"/>
                    <w:rPr>
                      <w:rFonts w:ascii="Times New Roman" w:hAnsi="Times New Roman" w:eastAsia="宋体" w:cs="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02" w:hRule="atLeast"/>
                <w:jc w:val="center"/>
              </w:trPr>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63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职工办公生活</w:t>
                  </w:r>
                </w:p>
              </w:tc>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生活污水</w:t>
                  </w:r>
                </w:p>
              </w:tc>
              <w:tc>
                <w:tcPr>
                  <w:tcW w:w="689"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10.8</w:t>
                  </w:r>
                </w:p>
                <w:p>
                  <w:pPr>
                    <w:jc w:val="center"/>
                    <w:rPr>
                      <w:rFonts w:ascii="Times New Roman" w:hAnsi="Times New Roman" w:eastAsia="宋体" w:cs="Times New Roman"/>
                      <w:szCs w:val="21"/>
                    </w:rPr>
                  </w:pPr>
                  <w:r>
                    <w:rPr>
                      <w:rFonts w:ascii="Times New Roman" w:hAnsi="Times New Roman" w:eastAsia="宋体" w:cs="Times New Roman"/>
                      <w:szCs w:val="21"/>
                    </w:rPr>
                    <w:t>+</w:t>
                  </w:r>
                </w:p>
                <w:p>
                  <w:pPr>
                    <w:jc w:val="center"/>
                    <w:rPr>
                      <w:rFonts w:ascii="Times New Roman" w:hAnsi="Times New Roman" w:eastAsia="宋体" w:cs="Times New Roman"/>
                      <w:szCs w:val="21"/>
                    </w:rPr>
                  </w:pPr>
                  <w:r>
                    <w:rPr>
                      <w:rFonts w:ascii="Times New Roman" w:hAnsi="Times New Roman" w:eastAsia="宋体" w:cs="Times New Roman"/>
                      <w:szCs w:val="21"/>
                    </w:rPr>
                    <w:t>59.18</w:t>
                  </w:r>
                </w:p>
              </w:tc>
              <w:tc>
                <w:tcPr>
                  <w:tcW w:w="73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SS</w:t>
                  </w:r>
                </w:p>
              </w:tc>
              <w:tc>
                <w:tcPr>
                  <w:tcW w:w="671" w:type="dxa"/>
                  <w:vAlign w:val="center"/>
                </w:tcPr>
                <w:p>
                  <w:pPr>
                    <w:jc w:val="center"/>
                    <w:rPr>
                      <w:rFonts w:ascii="Times New Roman" w:hAnsi="Times New Roman" w:eastAsia="宋体" w:cs="Times New Roman"/>
                      <w:szCs w:val="21"/>
                    </w:rPr>
                  </w:pPr>
                  <w:r>
                    <w:rPr>
                      <w:rFonts w:ascii="Times New Roman" w:hAnsi="Times New Roman" w:cs="Times New Roman"/>
                      <w:szCs w:val="21"/>
                    </w:rPr>
                    <w:t>800</w:t>
                  </w:r>
                </w:p>
              </w:tc>
              <w:tc>
                <w:tcPr>
                  <w:tcW w:w="804" w:type="dxa"/>
                  <w:vAlign w:val="center"/>
                </w:tcPr>
                <w:p>
                  <w:pPr>
                    <w:widowControl/>
                    <w:jc w:val="right"/>
                    <w:rPr>
                      <w:rFonts w:ascii="Times New Roman" w:hAnsi="Times New Roman" w:cs="Times New Roman"/>
                      <w:color w:val="000000"/>
                      <w:szCs w:val="21"/>
                    </w:rPr>
                  </w:pPr>
                  <w:r>
                    <w:rPr>
                      <w:rFonts w:ascii="Times New Roman" w:hAnsi="Times New Roman" w:cs="Times New Roman"/>
                      <w:color w:val="000000"/>
                      <w:szCs w:val="21"/>
                    </w:rPr>
                    <w:t>55.98</w:t>
                  </w:r>
                </w:p>
              </w:tc>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污水处理站</w:t>
                  </w:r>
                </w:p>
              </w:tc>
              <w:tc>
                <w:tcPr>
                  <w:tcW w:w="529"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PH调节+水解酸化池+接触氧化池+混凝沉淀</w:t>
                  </w:r>
                </w:p>
              </w:tc>
              <w:tc>
                <w:tcPr>
                  <w:tcW w:w="924"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80m</w:t>
                  </w:r>
                  <w:r>
                    <w:rPr>
                      <w:rFonts w:ascii="Times New Roman" w:hAnsi="Times New Roman" w:eastAsia="宋体" w:cs="Times New Roman"/>
                      <w:szCs w:val="21"/>
                      <w:vertAlign w:val="superscript"/>
                    </w:rPr>
                    <w:t>3</w:t>
                  </w:r>
                  <w:r>
                    <w:rPr>
                      <w:rFonts w:ascii="Times New Roman" w:hAnsi="Times New Roman" w:eastAsia="宋体" w:cs="Times New Roman"/>
                      <w:szCs w:val="21"/>
                    </w:rPr>
                    <w:t>/d</w:t>
                  </w:r>
                </w:p>
              </w:tc>
              <w:tc>
                <w:tcPr>
                  <w:tcW w:w="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80%</w:t>
                  </w:r>
                </w:p>
              </w:tc>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是</w:t>
                  </w:r>
                </w:p>
              </w:tc>
              <w:tc>
                <w:tcPr>
                  <w:tcW w:w="601"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w:t>
                  </w: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160</w:t>
                  </w:r>
                </w:p>
              </w:tc>
              <w:tc>
                <w:tcPr>
                  <w:tcW w:w="578"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w:t>
                  </w:r>
                </w:p>
              </w:tc>
              <w:tc>
                <w:tcPr>
                  <w:tcW w:w="426" w:type="dxa"/>
                  <w:vMerge w:val="restart"/>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排入柳林县污水处理厂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26" w:hRule="atLeast"/>
                <w:jc w:val="center"/>
              </w:trPr>
              <w:tc>
                <w:tcPr>
                  <w:tcW w:w="426" w:type="dxa"/>
                  <w:vMerge w:val="continue"/>
                  <w:vAlign w:val="center"/>
                </w:tcPr>
                <w:p>
                  <w:pPr>
                    <w:jc w:val="center"/>
                    <w:rPr>
                      <w:rFonts w:ascii="Times New Roman" w:hAnsi="Times New Roman" w:eastAsia="宋体" w:cs="Times New Roman"/>
                      <w:szCs w:val="21"/>
                    </w:rPr>
                  </w:pPr>
                </w:p>
              </w:tc>
              <w:tc>
                <w:tcPr>
                  <w:tcW w:w="636"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c>
                <w:tcPr>
                  <w:tcW w:w="689" w:type="dxa"/>
                  <w:vMerge w:val="continue"/>
                  <w:vAlign w:val="center"/>
                </w:tcPr>
                <w:p>
                  <w:pPr>
                    <w:jc w:val="center"/>
                    <w:rPr>
                      <w:rFonts w:ascii="Times New Roman" w:hAnsi="Times New Roman" w:eastAsia="宋体" w:cs="Times New Roman"/>
                      <w:szCs w:val="21"/>
                    </w:rPr>
                  </w:pPr>
                </w:p>
              </w:tc>
              <w:tc>
                <w:tcPr>
                  <w:tcW w:w="73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COD</w:t>
                  </w:r>
                </w:p>
              </w:tc>
              <w:tc>
                <w:tcPr>
                  <w:tcW w:w="671" w:type="dxa"/>
                  <w:vAlign w:val="center"/>
                </w:tcPr>
                <w:p>
                  <w:pPr>
                    <w:jc w:val="center"/>
                    <w:rPr>
                      <w:rFonts w:ascii="Times New Roman" w:hAnsi="Times New Roman" w:cs="Times New Roman"/>
                      <w:szCs w:val="21"/>
                    </w:rPr>
                  </w:pPr>
                  <w:r>
                    <w:rPr>
                      <w:rFonts w:ascii="Times New Roman" w:hAnsi="Times New Roman" w:cs="Times New Roman"/>
                      <w:szCs w:val="21"/>
                    </w:rPr>
                    <w:t>2100</w:t>
                  </w:r>
                </w:p>
              </w:tc>
              <w:tc>
                <w:tcPr>
                  <w:tcW w:w="804" w:type="dxa"/>
                  <w:vAlign w:val="center"/>
                </w:tcPr>
                <w:p>
                  <w:pPr>
                    <w:jc w:val="right"/>
                    <w:rPr>
                      <w:rFonts w:ascii="Times New Roman" w:hAnsi="Times New Roman" w:cs="Times New Roman"/>
                      <w:color w:val="000000"/>
                      <w:szCs w:val="21"/>
                    </w:rPr>
                  </w:pPr>
                  <w:r>
                    <w:rPr>
                      <w:rFonts w:ascii="Times New Roman" w:hAnsi="Times New Roman" w:cs="Times New Roman"/>
                      <w:color w:val="000000"/>
                      <w:szCs w:val="21"/>
                    </w:rPr>
                    <w:t>146.96</w:t>
                  </w:r>
                </w:p>
              </w:tc>
              <w:tc>
                <w:tcPr>
                  <w:tcW w:w="426" w:type="dxa"/>
                  <w:vMerge w:val="continue"/>
                  <w:vAlign w:val="center"/>
                </w:tcPr>
                <w:p>
                  <w:pPr>
                    <w:jc w:val="center"/>
                    <w:rPr>
                      <w:rFonts w:ascii="Times New Roman" w:hAnsi="Times New Roman" w:eastAsia="宋体" w:cs="Times New Roman"/>
                      <w:szCs w:val="21"/>
                    </w:rPr>
                  </w:pPr>
                </w:p>
              </w:tc>
              <w:tc>
                <w:tcPr>
                  <w:tcW w:w="529" w:type="dxa"/>
                  <w:vMerge w:val="continue"/>
                  <w:vAlign w:val="center"/>
                </w:tcPr>
                <w:p>
                  <w:pPr>
                    <w:jc w:val="center"/>
                    <w:rPr>
                      <w:rFonts w:ascii="Times New Roman" w:hAnsi="Times New Roman" w:eastAsia="宋体" w:cs="Times New Roman"/>
                      <w:szCs w:val="21"/>
                    </w:rPr>
                  </w:pPr>
                </w:p>
              </w:tc>
              <w:tc>
                <w:tcPr>
                  <w:tcW w:w="924" w:type="dxa"/>
                  <w:vMerge w:val="continue"/>
                  <w:vAlign w:val="center"/>
                </w:tcPr>
                <w:p>
                  <w:pPr>
                    <w:jc w:val="center"/>
                    <w:rPr>
                      <w:rFonts w:ascii="Times New Roman" w:hAnsi="Times New Roman" w:eastAsia="宋体" w:cs="Times New Roman"/>
                      <w:szCs w:val="21"/>
                    </w:rPr>
                  </w:pPr>
                </w:p>
              </w:tc>
              <w:tc>
                <w:tcPr>
                  <w:tcW w:w="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80%</w:t>
                  </w:r>
                </w:p>
              </w:tc>
              <w:tc>
                <w:tcPr>
                  <w:tcW w:w="426" w:type="dxa"/>
                  <w:vMerge w:val="continue"/>
                  <w:vAlign w:val="center"/>
                </w:tcPr>
                <w:p>
                  <w:pPr>
                    <w:jc w:val="center"/>
                    <w:rPr>
                      <w:rFonts w:ascii="Times New Roman" w:hAnsi="Times New Roman" w:eastAsia="宋体" w:cs="Times New Roman"/>
                      <w:szCs w:val="21"/>
                    </w:rPr>
                  </w:pPr>
                </w:p>
              </w:tc>
              <w:tc>
                <w:tcPr>
                  <w:tcW w:w="601" w:type="dxa"/>
                  <w:vMerge w:val="continue"/>
                  <w:vAlign w:val="center"/>
                </w:tcPr>
                <w:p>
                  <w:pPr>
                    <w:jc w:val="center"/>
                    <w:rPr>
                      <w:rFonts w:ascii="Times New Roman" w:hAnsi="Times New Roman" w:eastAsia="宋体" w:cs="Times New Roman"/>
                      <w:szCs w:val="21"/>
                    </w:rPr>
                  </w:pP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420</w:t>
                  </w:r>
                </w:p>
              </w:tc>
              <w:tc>
                <w:tcPr>
                  <w:tcW w:w="578"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502" w:hRule="atLeast"/>
                <w:jc w:val="center"/>
              </w:trPr>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63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清洗、浸泡、设备清洗、地面冲洗</w:t>
                  </w:r>
                </w:p>
              </w:tc>
              <w:tc>
                <w:tcPr>
                  <w:tcW w:w="42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生产废水</w:t>
                  </w:r>
                </w:p>
              </w:tc>
              <w:tc>
                <w:tcPr>
                  <w:tcW w:w="689" w:type="dxa"/>
                  <w:vMerge w:val="continue"/>
                  <w:vAlign w:val="center"/>
                </w:tcPr>
                <w:p>
                  <w:pPr>
                    <w:jc w:val="center"/>
                    <w:rPr>
                      <w:rFonts w:ascii="Times New Roman" w:hAnsi="Times New Roman" w:eastAsia="宋体" w:cs="Times New Roman"/>
                      <w:szCs w:val="21"/>
                    </w:rPr>
                  </w:pPr>
                </w:p>
              </w:tc>
              <w:tc>
                <w:tcPr>
                  <w:tcW w:w="73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671" w:type="dxa"/>
                  <w:vAlign w:val="center"/>
                </w:tcPr>
                <w:p>
                  <w:pPr>
                    <w:jc w:val="center"/>
                    <w:rPr>
                      <w:rFonts w:ascii="Times New Roman" w:hAnsi="Times New Roman" w:cs="Times New Roman"/>
                      <w:szCs w:val="21"/>
                    </w:rPr>
                  </w:pPr>
                  <w:r>
                    <w:rPr>
                      <w:rFonts w:ascii="Times New Roman" w:hAnsi="Times New Roman" w:cs="Times New Roman"/>
                      <w:szCs w:val="21"/>
                    </w:rPr>
                    <w:t>600</w:t>
                  </w:r>
                </w:p>
              </w:tc>
              <w:tc>
                <w:tcPr>
                  <w:tcW w:w="804" w:type="dxa"/>
                  <w:vAlign w:val="center"/>
                </w:tcPr>
                <w:p>
                  <w:pPr>
                    <w:jc w:val="right"/>
                    <w:rPr>
                      <w:rFonts w:ascii="Times New Roman" w:hAnsi="Times New Roman" w:cs="Times New Roman"/>
                      <w:color w:val="000000"/>
                      <w:szCs w:val="21"/>
                    </w:rPr>
                  </w:pPr>
                  <w:r>
                    <w:rPr>
                      <w:rFonts w:ascii="Times New Roman" w:hAnsi="Times New Roman" w:cs="Times New Roman"/>
                      <w:color w:val="000000"/>
                      <w:szCs w:val="21"/>
                    </w:rPr>
                    <w:t>41.99</w:t>
                  </w:r>
                </w:p>
              </w:tc>
              <w:tc>
                <w:tcPr>
                  <w:tcW w:w="426" w:type="dxa"/>
                  <w:vMerge w:val="continue"/>
                  <w:vAlign w:val="center"/>
                </w:tcPr>
                <w:p>
                  <w:pPr>
                    <w:jc w:val="center"/>
                    <w:rPr>
                      <w:rFonts w:ascii="Times New Roman" w:hAnsi="Times New Roman" w:eastAsia="宋体" w:cs="Times New Roman"/>
                      <w:szCs w:val="21"/>
                    </w:rPr>
                  </w:pPr>
                </w:p>
              </w:tc>
              <w:tc>
                <w:tcPr>
                  <w:tcW w:w="529" w:type="dxa"/>
                  <w:vMerge w:val="continue"/>
                  <w:vAlign w:val="center"/>
                </w:tcPr>
                <w:p>
                  <w:pPr>
                    <w:jc w:val="center"/>
                    <w:rPr>
                      <w:rFonts w:ascii="Times New Roman" w:hAnsi="Times New Roman" w:eastAsia="宋体" w:cs="Times New Roman"/>
                      <w:szCs w:val="21"/>
                    </w:rPr>
                  </w:pPr>
                </w:p>
              </w:tc>
              <w:tc>
                <w:tcPr>
                  <w:tcW w:w="924" w:type="dxa"/>
                  <w:vMerge w:val="continue"/>
                  <w:vAlign w:val="center"/>
                </w:tcPr>
                <w:p>
                  <w:pPr>
                    <w:jc w:val="center"/>
                    <w:rPr>
                      <w:rFonts w:ascii="Times New Roman" w:hAnsi="Times New Roman" w:eastAsia="宋体" w:cs="Times New Roman"/>
                      <w:szCs w:val="21"/>
                    </w:rPr>
                  </w:pPr>
                </w:p>
              </w:tc>
              <w:tc>
                <w:tcPr>
                  <w:tcW w:w="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85%</w:t>
                  </w:r>
                </w:p>
              </w:tc>
              <w:tc>
                <w:tcPr>
                  <w:tcW w:w="426" w:type="dxa"/>
                  <w:vMerge w:val="continue"/>
                  <w:vAlign w:val="center"/>
                </w:tcPr>
                <w:p>
                  <w:pPr>
                    <w:jc w:val="center"/>
                    <w:rPr>
                      <w:rFonts w:ascii="Times New Roman" w:hAnsi="Times New Roman" w:eastAsia="宋体" w:cs="Times New Roman"/>
                      <w:szCs w:val="21"/>
                    </w:rPr>
                  </w:pPr>
                </w:p>
              </w:tc>
              <w:tc>
                <w:tcPr>
                  <w:tcW w:w="601" w:type="dxa"/>
                  <w:vMerge w:val="continue"/>
                  <w:vAlign w:val="center"/>
                </w:tcPr>
                <w:p>
                  <w:pPr>
                    <w:jc w:val="center"/>
                    <w:rPr>
                      <w:rFonts w:ascii="Times New Roman" w:hAnsi="Times New Roman" w:eastAsia="宋体" w:cs="Times New Roman"/>
                      <w:szCs w:val="21"/>
                    </w:rPr>
                  </w:pP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90</w:t>
                  </w:r>
                </w:p>
              </w:tc>
              <w:tc>
                <w:tcPr>
                  <w:tcW w:w="578"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 w:hRule="atLeast"/>
                <w:jc w:val="center"/>
              </w:trPr>
              <w:tc>
                <w:tcPr>
                  <w:tcW w:w="426" w:type="dxa"/>
                  <w:vMerge w:val="continue"/>
                  <w:vAlign w:val="center"/>
                </w:tcPr>
                <w:p>
                  <w:pPr>
                    <w:jc w:val="center"/>
                    <w:rPr>
                      <w:rFonts w:ascii="Times New Roman" w:hAnsi="Times New Roman" w:eastAsia="宋体" w:cs="Times New Roman"/>
                      <w:szCs w:val="21"/>
                    </w:rPr>
                  </w:pPr>
                </w:p>
              </w:tc>
              <w:tc>
                <w:tcPr>
                  <w:tcW w:w="636"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c>
                <w:tcPr>
                  <w:tcW w:w="689" w:type="dxa"/>
                  <w:vMerge w:val="continue"/>
                  <w:vAlign w:val="center"/>
                </w:tcPr>
                <w:p>
                  <w:pPr>
                    <w:jc w:val="center"/>
                    <w:rPr>
                      <w:rFonts w:ascii="Times New Roman" w:hAnsi="Times New Roman" w:eastAsia="宋体" w:cs="Times New Roman"/>
                      <w:szCs w:val="21"/>
                    </w:rPr>
                  </w:pPr>
                </w:p>
              </w:tc>
              <w:tc>
                <w:tcPr>
                  <w:tcW w:w="730" w:type="dxa"/>
                  <w:vAlign w:val="center"/>
                </w:tcPr>
                <w:p>
                  <w:pPr>
                    <w:jc w:val="center"/>
                    <w:rPr>
                      <w:rFonts w:ascii="Times New Roman" w:hAnsi="Times New Roman" w:eastAsia="宋体" w:cs="Times New Roman"/>
                      <w:szCs w:val="21"/>
                    </w:rPr>
                  </w:pPr>
                  <w:r>
                    <w:rPr>
                      <w:rFonts w:ascii="Times New Roman" w:hAnsi="Times New Roman" w:eastAsia="宋体" w:cs="Times New Roman"/>
                      <w:bCs/>
                      <w:szCs w:val="21"/>
                    </w:rPr>
                    <w:t>NH</w:t>
                  </w:r>
                  <w:r>
                    <w:rPr>
                      <w:rFonts w:ascii="Times New Roman" w:hAnsi="Times New Roman" w:eastAsia="宋体" w:cs="Times New Roman"/>
                      <w:bCs/>
                      <w:szCs w:val="21"/>
                      <w:vertAlign w:val="subscript"/>
                    </w:rPr>
                    <w:t>3</w:t>
                  </w:r>
                  <w:r>
                    <w:rPr>
                      <w:rFonts w:ascii="Times New Roman" w:hAnsi="Times New Roman" w:eastAsia="宋体" w:cs="Times New Roman"/>
                      <w:bCs/>
                      <w:szCs w:val="21"/>
                    </w:rPr>
                    <w:t>-N</w:t>
                  </w:r>
                </w:p>
              </w:tc>
              <w:tc>
                <w:tcPr>
                  <w:tcW w:w="671" w:type="dxa"/>
                  <w:vAlign w:val="center"/>
                </w:tcPr>
                <w:p>
                  <w:pPr>
                    <w:jc w:val="center"/>
                    <w:rPr>
                      <w:rFonts w:ascii="Times New Roman" w:hAnsi="Times New Roman" w:cs="Times New Roman"/>
                      <w:szCs w:val="21"/>
                    </w:rPr>
                  </w:pPr>
                  <w:r>
                    <w:rPr>
                      <w:rFonts w:ascii="Times New Roman" w:hAnsi="Times New Roman" w:cs="Times New Roman"/>
                      <w:szCs w:val="21"/>
                    </w:rPr>
                    <w:t>60</w:t>
                  </w:r>
                </w:p>
              </w:tc>
              <w:tc>
                <w:tcPr>
                  <w:tcW w:w="804" w:type="dxa"/>
                  <w:vAlign w:val="center"/>
                </w:tcPr>
                <w:p>
                  <w:pPr>
                    <w:ind w:right="220"/>
                    <w:jc w:val="right"/>
                    <w:rPr>
                      <w:rFonts w:ascii="Times New Roman" w:hAnsi="Times New Roman" w:cs="Times New Roman"/>
                      <w:color w:val="000000"/>
                      <w:szCs w:val="21"/>
                    </w:rPr>
                  </w:pPr>
                  <w:r>
                    <w:rPr>
                      <w:rFonts w:ascii="Times New Roman" w:hAnsi="Times New Roman" w:cs="Times New Roman"/>
                      <w:color w:val="000000"/>
                      <w:szCs w:val="21"/>
                    </w:rPr>
                    <w:t>4.20</w:t>
                  </w:r>
                </w:p>
              </w:tc>
              <w:tc>
                <w:tcPr>
                  <w:tcW w:w="426" w:type="dxa"/>
                  <w:vMerge w:val="continue"/>
                  <w:vAlign w:val="center"/>
                </w:tcPr>
                <w:p>
                  <w:pPr>
                    <w:jc w:val="center"/>
                    <w:rPr>
                      <w:rFonts w:ascii="Times New Roman" w:hAnsi="Times New Roman" w:eastAsia="宋体" w:cs="Times New Roman"/>
                      <w:szCs w:val="21"/>
                    </w:rPr>
                  </w:pPr>
                </w:p>
              </w:tc>
              <w:tc>
                <w:tcPr>
                  <w:tcW w:w="529" w:type="dxa"/>
                  <w:vMerge w:val="continue"/>
                  <w:vAlign w:val="center"/>
                </w:tcPr>
                <w:p>
                  <w:pPr>
                    <w:jc w:val="center"/>
                    <w:rPr>
                      <w:rFonts w:ascii="Times New Roman" w:hAnsi="Times New Roman" w:eastAsia="宋体" w:cs="Times New Roman"/>
                      <w:szCs w:val="21"/>
                    </w:rPr>
                  </w:pPr>
                </w:p>
              </w:tc>
              <w:tc>
                <w:tcPr>
                  <w:tcW w:w="924" w:type="dxa"/>
                  <w:vMerge w:val="continue"/>
                  <w:vAlign w:val="center"/>
                </w:tcPr>
                <w:p>
                  <w:pPr>
                    <w:jc w:val="center"/>
                    <w:rPr>
                      <w:rFonts w:ascii="Times New Roman" w:hAnsi="Times New Roman" w:eastAsia="宋体" w:cs="Times New Roman"/>
                      <w:szCs w:val="21"/>
                    </w:rPr>
                  </w:pPr>
                </w:p>
              </w:tc>
              <w:tc>
                <w:tcPr>
                  <w:tcW w:w="61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50%</w:t>
                  </w:r>
                </w:p>
              </w:tc>
              <w:tc>
                <w:tcPr>
                  <w:tcW w:w="426" w:type="dxa"/>
                  <w:vMerge w:val="continue"/>
                  <w:vAlign w:val="center"/>
                </w:tcPr>
                <w:p>
                  <w:pPr>
                    <w:jc w:val="center"/>
                    <w:rPr>
                      <w:rFonts w:ascii="Times New Roman" w:hAnsi="Times New Roman" w:eastAsia="宋体" w:cs="Times New Roman"/>
                      <w:szCs w:val="21"/>
                    </w:rPr>
                  </w:pPr>
                </w:p>
              </w:tc>
              <w:tc>
                <w:tcPr>
                  <w:tcW w:w="601" w:type="dxa"/>
                  <w:vMerge w:val="continue"/>
                  <w:vAlign w:val="center"/>
                </w:tcPr>
                <w:p>
                  <w:pPr>
                    <w:jc w:val="center"/>
                    <w:rPr>
                      <w:rFonts w:ascii="Times New Roman" w:hAnsi="Times New Roman" w:eastAsia="宋体" w:cs="Times New Roman"/>
                      <w:szCs w:val="21"/>
                    </w:rPr>
                  </w:pPr>
                </w:p>
              </w:tc>
              <w:tc>
                <w:tcPr>
                  <w:tcW w:w="67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30</w:t>
                  </w:r>
                </w:p>
              </w:tc>
              <w:tc>
                <w:tcPr>
                  <w:tcW w:w="578" w:type="dxa"/>
                  <w:vMerge w:val="continue"/>
                  <w:vAlign w:val="center"/>
                </w:tcPr>
                <w:p>
                  <w:pPr>
                    <w:jc w:val="center"/>
                    <w:rPr>
                      <w:rFonts w:ascii="Times New Roman" w:hAnsi="Times New Roman" w:eastAsia="宋体" w:cs="Times New Roman"/>
                      <w:szCs w:val="21"/>
                    </w:rPr>
                  </w:pPr>
                </w:p>
              </w:tc>
              <w:tc>
                <w:tcPr>
                  <w:tcW w:w="426" w:type="dxa"/>
                  <w:vMerge w:val="continue"/>
                  <w:vAlign w:val="center"/>
                </w:tcPr>
                <w:p>
                  <w:pPr>
                    <w:jc w:val="center"/>
                    <w:rPr>
                      <w:rFonts w:ascii="Times New Roman" w:hAnsi="Times New Roman" w:eastAsia="宋体" w:cs="Times New Roman"/>
                      <w:szCs w:val="21"/>
                    </w:rPr>
                  </w:pPr>
                </w:p>
              </w:tc>
            </w:tr>
          </w:tbl>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本项目污水处理站设计规模为80m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/d，采用“PH调节+水解酸化池+接触氧化池+混凝沉淀”工艺。工艺流程见下图</w:t>
            </w:r>
            <w:r>
              <w:rPr>
                <w:rFonts w:ascii="Times New Roman" w:hAnsi="Times New Roman" w:eastAsia="宋体" w:cs="Times New Roman"/>
                <w:sz w:val="24"/>
                <w:szCs w:val="24"/>
                <w:lang w:val="eu-ES"/>
              </w:rPr>
              <w:t>。</w: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3600" behindDoc="0" locked="0" layoutInCell="1" allowOverlap="1">
                      <wp:simplePos x="0" y="0"/>
                      <wp:positionH relativeFrom="column">
                        <wp:posOffset>4413885</wp:posOffset>
                      </wp:positionH>
                      <wp:positionV relativeFrom="paragraph">
                        <wp:posOffset>254000</wp:posOffset>
                      </wp:positionV>
                      <wp:extent cx="914400" cy="285750"/>
                      <wp:effectExtent l="4445" t="4445" r="14605" b="14605"/>
                      <wp:wrapNone/>
                      <wp:docPr id="163" name="文本框 163"/>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接触氧化池</w:t>
                                  </w:r>
                                </w:p>
                              </w:txbxContent>
                            </wps:txbx>
                            <wps:bodyPr upright="1"/>
                          </wps:wsp>
                        </a:graphicData>
                      </a:graphic>
                    </wp:anchor>
                  </w:drawing>
                </mc:Choice>
                <mc:Fallback>
                  <w:pict>
                    <v:shape id="_x0000_s1026" o:spid="_x0000_s1026" o:spt="202" type="#_x0000_t202" style="position:absolute;left:0pt;margin-left:347.55pt;margin-top:20pt;height:22.5pt;width:72pt;z-index:251673600;mso-width-relative:page;mso-height-relative:page;" fillcolor="#FFFFFF" filled="t" stroked="t" coordsize="21600,21600" o:gfxdata="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Gh+cdkAAAAJAQAADwAAAAAAAAABACAAAAAiAAAAZHJzL2Rvd25yZXYueG1sUEsB&#10;AhQAFAAAAAgAh07iQFjncxH0AQAA6wMAAA4AAAAAAAAAAQAgAAAAKAEAAGRycy9lMm9Eb2MueG1s&#10;UEsFBgAAAAAGAAYAWQEAAI4FAAAAAA==&#10;">
                      <v:fill on="t" focussize="0,0"/>
                      <v:stroke color="#000000" joinstyle="miter"/>
                      <v:imagedata o:title=""/>
                      <o:lock v:ext="edit" aspectratio="f"/>
                      <v:textbox>
                        <w:txbxContent>
                          <w:p>
                            <w:pPr>
                              <w:jc w:val="center"/>
                            </w:pPr>
                            <w:r>
                              <w:rPr>
                                <w:rFonts w:hint="eastAsia"/>
                              </w:rPr>
                              <w:t>接触氧化池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2576" behindDoc="0" locked="0" layoutInCell="1" allowOverlap="1">
                      <wp:simplePos x="0" y="0"/>
                      <wp:positionH relativeFrom="column">
                        <wp:posOffset>3185160</wp:posOffset>
                      </wp:positionH>
                      <wp:positionV relativeFrom="paragraph">
                        <wp:posOffset>232410</wp:posOffset>
                      </wp:positionV>
                      <wp:extent cx="895350" cy="325120"/>
                      <wp:effectExtent l="4445" t="4445" r="14605" b="13335"/>
                      <wp:wrapNone/>
                      <wp:docPr id="162" name="文本框 162"/>
                      <wp:cNvGraphicFramePr/>
                      <a:graphic xmlns:a="http://schemas.openxmlformats.org/drawingml/2006/main">
                        <a:graphicData uri="http://schemas.microsoft.com/office/word/2010/wordprocessingShape">
                          <wps:wsp>
                            <wps:cNvSpPr txBox="1"/>
                            <wps:spPr>
                              <a:xfrm>
                                <a:off x="0" y="0"/>
                                <a:ext cx="895350" cy="3251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水解酸化池</w:t>
                                  </w:r>
                                </w:p>
                              </w:txbxContent>
                            </wps:txbx>
                            <wps:bodyPr upright="1"/>
                          </wps:wsp>
                        </a:graphicData>
                      </a:graphic>
                    </wp:anchor>
                  </w:drawing>
                </mc:Choice>
                <mc:Fallback>
                  <w:pict>
                    <v:shape id="_x0000_s1026" o:spid="_x0000_s1026" o:spt="202" type="#_x0000_t202" style="position:absolute;left:0pt;margin-left:250.8pt;margin-top:18.3pt;height:25.6pt;width:70.5pt;z-index:251672576;mso-width-relative:page;mso-height-relative:page;" fillcolor="#FFFFFF" filled="t" stroked="t" coordsize="21600,21600" o:gfxdata="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710L+2AAAAAkBAAAPAAAAAAAAAAEAIAAAACIAAABkcnMvZG93bnJldi54bWxQSwEC&#10;FAAUAAAACACHTuJAPhRkqPQBAADrAwAADgAAAAAAAAABACAAAAAnAQAAZHJzL2Uyb0RvYy54bWxQ&#10;SwUGAAAAAAYABgBZAQAAjQUAAAAA&#10;">
                      <v:fill on="t" focussize="0,0"/>
                      <v:stroke color="#000000" joinstyle="miter"/>
                      <v:imagedata o:title=""/>
                      <o:lock v:ext="edit" aspectratio="f"/>
                      <v:textbox>
                        <w:txbxContent>
                          <w:p>
                            <w:pPr>
                              <w:jc w:val="center"/>
                            </w:pPr>
                            <w:r>
                              <w:rPr>
                                <w:rFonts w:hint="eastAsia"/>
                              </w:rPr>
                              <w:t>水解酸化池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7456" behindDoc="0" locked="0" layoutInCell="1" allowOverlap="1">
                      <wp:simplePos x="0" y="0"/>
                      <wp:positionH relativeFrom="column">
                        <wp:posOffset>2165985</wp:posOffset>
                      </wp:positionH>
                      <wp:positionV relativeFrom="paragraph">
                        <wp:posOffset>247015</wp:posOffset>
                      </wp:positionV>
                      <wp:extent cx="676275" cy="285750"/>
                      <wp:effectExtent l="4445" t="4445" r="5080" b="14605"/>
                      <wp:wrapNone/>
                      <wp:docPr id="155" name="文本框 155"/>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调节池</w:t>
                                  </w:r>
                                </w:p>
                              </w:txbxContent>
                            </wps:txbx>
                            <wps:bodyPr upright="1"/>
                          </wps:wsp>
                        </a:graphicData>
                      </a:graphic>
                    </wp:anchor>
                  </w:drawing>
                </mc:Choice>
                <mc:Fallback>
                  <w:pict>
                    <v:shape id="_x0000_s1026" o:spid="_x0000_s1026" o:spt="202" type="#_x0000_t202" style="position:absolute;left:0pt;margin-left:170.55pt;margin-top:19.45pt;height:22.5pt;width:53.25pt;z-index:251667456;mso-width-relative:page;mso-height-relative:page;" fillcolor="#FFFFFF" filled="t" stroked="t" coordsize="21600,21600" o:gfxdata="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bOcgLYAAAACQEAAA8AAAAAAAAAAQAgAAAAIgAAAGRycy9kb3ducmV2LnhtbFBLAQIU&#10;ABQAAAAIAIdO4kAx8Jyw8wEAAOsDAAAOAAAAAAAAAAEAIAAAACcBAABkcnMvZTJvRG9jLnhtbFBL&#10;BQYAAAAABgAGAFkBAACMBQAAAAA=&#10;">
                      <v:fill on="t" focussize="0,0"/>
                      <v:stroke color="#000000" joinstyle="miter"/>
                      <v:imagedata o:title=""/>
                      <o:lock v:ext="edit" aspectratio="f"/>
                      <v:textbox>
                        <w:txbxContent>
                          <w:p>
                            <w:pPr>
                              <w:jc w:val="center"/>
                            </w:pPr>
                            <w:r>
                              <w:rPr>
                                <w:rFonts w:hint="eastAsia"/>
                              </w:rPr>
                              <w:t>调节池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6432" behindDoc="0" locked="0" layoutInCell="1" allowOverlap="1">
                      <wp:simplePos x="0" y="0"/>
                      <wp:positionH relativeFrom="column">
                        <wp:posOffset>1156335</wp:posOffset>
                      </wp:positionH>
                      <wp:positionV relativeFrom="paragraph">
                        <wp:posOffset>256540</wp:posOffset>
                      </wp:positionV>
                      <wp:extent cx="676275" cy="285750"/>
                      <wp:effectExtent l="4445" t="4445" r="5080" b="14605"/>
                      <wp:wrapNone/>
                      <wp:docPr id="154" name="文本框 154"/>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格栅</w:t>
                                  </w:r>
                                </w:p>
                              </w:txbxContent>
                            </wps:txbx>
                            <wps:bodyPr upright="1"/>
                          </wps:wsp>
                        </a:graphicData>
                      </a:graphic>
                    </wp:anchor>
                  </w:drawing>
                </mc:Choice>
                <mc:Fallback>
                  <w:pict>
                    <v:shape id="_x0000_s1026" o:spid="_x0000_s1026" o:spt="202" type="#_x0000_t202" style="position:absolute;left:0pt;margin-left:91.05pt;margin-top:20.2pt;height:22.5pt;width:53.25pt;z-index:251666432;mso-width-relative:page;mso-height-relative:page;" fillcolor="#FFFFFF" filled="t" stroked="t" coordsize="21600,21600" o:gfxdata="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KIkl7YAAAACQEAAA8AAAAAAAAAAQAgAAAAIgAAAGRycy9kb3ducmV2LnhtbFBLAQIU&#10;ABQAAAAIAIdO4kCxGwJ48wEAAOsDAAAOAAAAAAAAAAEAIAAAACcBAABkcnMvZTJvRG9jLnhtbFBL&#10;BQYAAAAABgAGAFkBAACMBQAAAAA=&#10;">
                      <v:fill on="t" focussize="0,0"/>
                      <v:stroke color="#000000" joinstyle="miter"/>
                      <v:imagedata o:title=""/>
                      <o:lock v:ext="edit" aspectratio="f"/>
                      <v:textbox>
                        <w:txbxContent>
                          <w:p>
                            <w:pPr>
                              <w:jc w:val="center"/>
                            </w:pPr>
                            <w:r>
                              <w:rPr>
                                <w:rFonts w:hint="eastAsia"/>
                              </w:rPr>
                              <w:t>格栅</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3360" behindDoc="0" locked="0" layoutInCell="1" allowOverlap="1">
                      <wp:simplePos x="0" y="0"/>
                      <wp:positionH relativeFrom="column">
                        <wp:posOffset>156210</wp:posOffset>
                      </wp:positionH>
                      <wp:positionV relativeFrom="paragraph">
                        <wp:posOffset>256540</wp:posOffset>
                      </wp:positionV>
                      <wp:extent cx="685800" cy="285750"/>
                      <wp:effectExtent l="4445" t="4445" r="14605" b="14605"/>
                      <wp:wrapNone/>
                      <wp:docPr id="151" name="文本框 151"/>
                      <wp:cNvGraphicFramePr/>
                      <a:graphic xmlns:a="http://schemas.openxmlformats.org/drawingml/2006/main">
                        <a:graphicData uri="http://schemas.microsoft.com/office/word/2010/wordprocessingShape">
                          <wps:wsp>
                            <wps:cNvSpPr txBox="1"/>
                            <wps:spPr>
                              <a:xfrm>
                                <a:off x="1363345" y="6906260"/>
                                <a:ext cx="6858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污水</w:t>
                                  </w:r>
                                </w:p>
                              </w:txbxContent>
                            </wps:txbx>
                            <wps:bodyPr upright="1"/>
                          </wps:wsp>
                        </a:graphicData>
                      </a:graphic>
                    </wp:anchor>
                  </w:drawing>
                </mc:Choice>
                <mc:Fallback>
                  <w:pict>
                    <v:shape id="_x0000_s1026" o:spid="_x0000_s1026" o:spt="202" type="#_x0000_t202" style="position:absolute;left:0pt;margin-left:12.3pt;margin-top:20.2pt;height:22.5pt;width:54pt;z-index:251663360;mso-width-relative:page;mso-height-relative:page;" fillcolor="#FFFFFF" filled="t" stroked="t" coordsize="21600,21600" o:gfxdata="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UmJq61wAAAAgBAAAPAAAAAAAAAAEAIAAAACIAAABkcnMvZG93bnJl&#10;di54bWxQSwECFAAUAAAACACHTuJAfs8cHP4BAAD3AwAADgAAAAAAAAABACAAAAAmAQAAZHJzL2Uy&#10;b0RvYy54bWxQSwUGAAAAAAYABgBZAQAAlgUAAAAA&#10;">
                      <v:fill on="t" focussize="0,0"/>
                      <v:stroke color="#000000" joinstyle="miter"/>
                      <v:imagedata o:title=""/>
                      <o:lock v:ext="edit" aspectratio="f"/>
                      <v:textbox>
                        <w:txbxContent>
                          <w:p>
                            <w:pPr>
                              <w:jc w:val="center"/>
                            </w:pPr>
                            <w:r>
                              <w:rPr>
                                <w:rFonts w:hint="eastAsia"/>
                              </w:rPr>
                              <w:t>污水</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1552" behindDoc="0" locked="0" layoutInCell="1" allowOverlap="1">
                      <wp:simplePos x="0" y="0"/>
                      <wp:positionH relativeFrom="column">
                        <wp:posOffset>4864100</wp:posOffset>
                      </wp:positionH>
                      <wp:positionV relativeFrom="paragraph">
                        <wp:posOffset>252730</wp:posOffset>
                      </wp:positionV>
                      <wp:extent cx="6985" cy="321310"/>
                      <wp:effectExtent l="46990" t="0" r="60325" b="2540"/>
                      <wp:wrapNone/>
                      <wp:docPr id="160" name="直接箭头连接符 160"/>
                      <wp:cNvGraphicFramePr/>
                      <a:graphic xmlns:a="http://schemas.openxmlformats.org/drawingml/2006/main">
                        <a:graphicData uri="http://schemas.microsoft.com/office/word/2010/wordprocessingShape">
                          <wps:wsp>
                            <wps:cNvCnPr/>
                            <wps:spPr>
                              <a:xfrm flipH="1">
                                <a:off x="0" y="0"/>
                                <a:ext cx="6985" cy="32131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83pt;margin-top:19.9pt;height:25.3pt;width:0.55pt;z-index:251671552;mso-width-relative:page;mso-height-relative:page;" filled="f" stroked="t" coordsize="21600,21600" o:gfxdata="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ogt39kAAAAJAQAADwAAAAAAAAAB&#10;ACAAAAAiAAAAZHJzL2Rvd25yZXYueG1sUEsBAhQAFAAAAAgAh07iQLE4EG8PAgAA1AMAAA4AAAAA&#10;AAAAAQAgAAAAKAEAAGRycy9lMm9Eb2MueG1sUEsFBgAAAAAGAAYAWQEAAKkFA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0528" behindDoc="0" locked="0" layoutInCell="1" allowOverlap="1">
                      <wp:simplePos x="0" y="0"/>
                      <wp:positionH relativeFrom="column">
                        <wp:posOffset>4099560</wp:posOffset>
                      </wp:positionH>
                      <wp:positionV relativeFrom="paragraph">
                        <wp:posOffset>100330</wp:posOffset>
                      </wp:positionV>
                      <wp:extent cx="316865" cy="0"/>
                      <wp:effectExtent l="0" t="48895" r="6985" b="65405"/>
                      <wp:wrapNone/>
                      <wp:docPr id="158" name="直接箭头连接符 158"/>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22.8pt;margin-top:7.9pt;height:0pt;width:24.95pt;z-index:251670528;mso-width-relative:page;mso-height-relative:page;" filled="f" stroked="t" coordsize="21600,21600" o:gfxdata="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4IRk51wAAAAkBAAAPAAAAAAAAAAEAIAAAACIAAABkcnMv&#10;ZG93bnJldi54bWxQSwECFAAUAAAACACHTuJApeHHKwQCAADHAwAADgAAAAAAAAABACAAAAAmAQAA&#10;ZHJzL2Uyb0RvYy54bWxQSwUGAAAAAAYABgBZAQAAnAU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8480" behindDoc="0" locked="0" layoutInCell="1" allowOverlap="1">
                      <wp:simplePos x="0" y="0"/>
                      <wp:positionH relativeFrom="column">
                        <wp:posOffset>1832610</wp:posOffset>
                      </wp:positionH>
                      <wp:positionV relativeFrom="paragraph">
                        <wp:posOffset>109855</wp:posOffset>
                      </wp:positionV>
                      <wp:extent cx="316865" cy="0"/>
                      <wp:effectExtent l="0" t="48895" r="6985" b="65405"/>
                      <wp:wrapNone/>
                      <wp:docPr id="156" name="直接箭头连接符 156"/>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144.3pt;margin-top:8.65pt;height:0pt;width:24.95pt;z-index:251668480;mso-width-relative:page;mso-height-relative:page;" filled="f" stroked="t" coordsize="21600,21600" o:gfxdata="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6W23bYAAAACQEAAA8AAAAAAAAAAQAgAAAAIgAAAGRy&#10;cy9kb3ducmV2LnhtbFBLAQIUABQAAAAIAIdO4kA4P0KXBQIAAMcDAAAOAAAAAAAAAAEAIAAAACcB&#10;AABkcnMvZTJvRG9jLnhtbFBLBQYAAAAABgAGAFkBAACe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9504" behindDoc="0" locked="0" layoutInCell="1" allowOverlap="1">
                      <wp:simplePos x="0" y="0"/>
                      <wp:positionH relativeFrom="column">
                        <wp:posOffset>2870835</wp:posOffset>
                      </wp:positionH>
                      <wp:positionV relativeFrom="paragraph">
                        <wp:posOffset>90805</wp:posOffset>
                      </wp:positionV>
                      <wp:extent cx="316865" cy="0"/>
                      <wp:effectExtent l="0" t="48895" r="6985" b="65405"/>
                      <wp:wrapNone/>
                      <wp:docPr id="157" name="直接箭头连接符 157"/>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226.05pt;margin-top:7.15pt;height:0pt;width:24.95pt;z-index:251669504;mso-width-relative:page;mso-height-relative:page;" filled="f" stroked="t" coordsize="21600,21600" o:gfxdata="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RdkR9cAAAAJAQAADwAAAAAAAAABACAAAAAiAAAAZHJz&#10;L2Rvd25yZXYueG1sUEsBAhQAFAAAAAgAh07iQJpGZ6oFAgAAxwMAAA4AAAAAAAAAAQAgAAAAJgEA&#10;AGRycy9lMm9Eb2MueG1sUEsFBgAAAAAGAAYAWQEAAJ0FA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5408" behindDoc="0" locked="0" layoutInCell="1" allowOverlap="1">
                      <wp:simplePos x="0" y="0"/>
                      <wp:positionH relativeFrom="column">
                        <wp:posOffset>842010</wp:posOffset>
                      </wp:positionH>
                      <wp:positionV relativeFrom="paragraph">
                        <wp:posOffset>109855</wp:posOffset>
                      </wp:positionV>
                      <wp:extent cx="316865" cy="0"/>
                      <wp:effectExtent l="0" t="48895" r="6985" b="65405"/>
                      <wp:wrapNone/>
                      <wp:docPr id="153" name="直接箭头连接符 153"/>
                      <wp:cNvGraphicFramePr/>
                      <a:graphic xmlns:a="http://schemas.openxmlformats.org/drawingml/2006/main">
                        <a:graphicData uri="http://schemas.microsoft.com/office/word/2010/wordprocessingShape">
                          <wps:wsp>
                            <wps:cNvCnPr/>
                            <wps:spPr>
                              <a:xfrm>
                                <a:off x="2163445" y="7049135"/>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66.3pt;margin-top:8.65pt;height:0pt;width:24.95pt;z-index:251665408;mso-width-relative:page;mso-height-relative:page;" filled="f" stroked="t" coordsize="21600,21600" o:gfxdata="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is741wAAAAkBAAAPAAAAAAAA&#10;AAEAIAAAACIAAABkcnMvZG93bnJldi54bWxQSwECFAAUAAAACACHTuJAbSy3BhMCAADTAwAADgAA&#10;AAAAAAABACAAAAAmAQAAZHJzL2Uyb0RvYy54bWxQSwUGAAAAAAYABgBZAQAAqwU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2" w:firstLineChars="200"/>
              <w:rPr>
                <w:rFonts w:ascii="Times New Roman" w:hAnsi="Times New Roman" w:eastAsia="宋体" w:cs="Times New Roman"/>
                <w:b/>
                <w:sz w:val="24"/>
                <w:szCs w:val="24"/>
              </w:rPr>
            </w:pP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6672" behindDoc="0" locked="0" layoutInCell="1" allowOverlap="1">
                      <wp:simplePos x="0" y="0"/>
                      <wp:positionH relativeFrom="column">
                        <wp:posOffset>3232785</wp:posOffset>
                      </wp:positionH>
                      <wp:positionV relativeFrom="paragraph">
                        <wp:posOffset>35560</wp:posOffset>
                      </wp:positionV>
                      <wp:extent cx="847725" cy="499745"/>
                      <wp:effectExtent l="0" t="0" r="28575" b="14605"/>
                      <wp:wrapNone/>
                      <wp:docPr id="37" name="文本框 37"/>
                      <wp:cNvGraphicFramePr/>
                      <a:graphic xmlns:a="http://schemas.openxmlformats.org/drawingml/2006/main">
                        <a:graphicData uri="http://schemas.microsoft.com/office/word/2010/wordprocessingShape">
                          <wps:wsp>
                            <wps:cNvSpPr txBox="1"/>
                            <wps:spPr>
                              <a:xfrm>
                                <a:off x="0" y="0"/>
                                <a:ext cx="847725" cy="5001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收集池</w:t>
                                  </w:r>
                                </w:p>
                              </w:txbxContent>
                            </wps:txbx>
                            <wps:bodyPr upright="1">
                              <a:noAutofit/>
                            </wps:bodyPr>
                          </wps:wsp>
                        </a:graphicData>
                      </a:graphic>
                    </wp:anchor>
                  </w:drawing>
                </mc:Choice>
                <mc:Fallback>
                  <w:pict>
                    <v:shape id="_x0000_s1026" o:spid="_x0000_s1026" o:spt="202" type="#_x0000_t202" style="position:absolute;left:0pt;margin-left:254.55pt;margin-top:2.8pt;height:39.35pt;width:66.75pt;z-index:251676672;mso-width-relative:page;mso-height-relative:page;" fillcolor="#FFFFFF" filled="t" stroked="t" coordsize="21600,21600" o:gfxdata="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i0xVbXAAAACAEAAA8AAAAAAAAAAQAgAAAAIgAAAGRycy9kb3ducmV2Lnht&#10;bFBLAQIUABQAAAAIAIdO4kAE+TFj+gEAAAMEAAAOAAAAAAAAAAEAIAAAACYBAABkcnMvZTJvRG9j&#10;LnhtbFBLBQYAAAAABgAGAFkBAACSBQAAAAA=&#10;">
                      <v:fill on="t" focussize="0,0"/>
                      <v:stroke color="#000000" joinstyle="miter"/>
                      <v:imagedata o:title=""/>
                      <o:lock v:ext="edit" aspectratio="f"/>
                      <v:textbox>
                        <w:txbxContent>
                          <w:p>
                            <w:pPr>
                              <w:jc w:val="center"/>
                              <w:rPr>
                                <w:szCs w:val="21"/>
                              </w:rPr>
                            </w:pPr>
                            <w:r>
                              <w:rPr>
                                <w:rFonts w:hint="eastAsia"/>
                                <w:szCs w:val="21"/>
                              </w:rPr>
                              <w:t>收集池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64384" behindDoc="0" locked="0" layoutInCell="1" allowOverlap="1">
                      <wp:simplePos x="0" y="0"/>
                      <wp:positionH relativeFrom="column">
                        <wp:posOffset>4489450</wp:posOffset>
                      </wp:positionH>
                      <wp:positionV relativeFrom="paragraph">
                        <wp:posOffset>17780</wp:posOffset>
                      </wp:positionV>
                      <wp:extent cx="847725" cy="484505"/>
                      <wp:effectExtent l="0" t="0" r="28575" b="10795"/>
                      <wp:wrapNone/>
                      <wp:docPr id="159" name="文本框 159"/>
                      <wp:cNvGraphicFramePr/>
                      <a:graphic xmlns:a="http://schemas.openxmlformats.org/drawingml/2006/main">
                        <a:graphicData uri="http://schemas.microsoft.com/office/word/2010/wordprocessingShape">
                          <wps:wsp>
                            <wps:cNvSpPr txBox="1"/>
                            <wps:spPr>
                              <a:xfrm>
                                <a:off x="0" y="0"/>
                                <a:ext cx="847725" cy="4850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絮凝沉淀池</w:t>
                                  </w:r>
                                </w:p>
                              </w:txbxContent>
                            </wps:txbx>
                            <wps:bodyPr upright="1">
                              <a:noAutofit/>
                            </wps:bodyPr>
                          </wps:wsp>
                        </a:graphicData>
                      </a:graphic>
                    </wp:anchor>
                  </w:drawing>
                </mc:Choice>
                <mc:Fallback>
                  <w:pict>
                    <v:shape id="_x0000_s1026" o:spid="_x0000_s1026" o:spt="202" type="#_x0000_t202" style="position:absolute;left:0pt;margin-left:353.5pt;margin-top:1.4pt;height:38.15pt;width:66.75pt;z-index:251664384;mso-width-relative:page;mso-height-relative:page;" fillcolor="#FFFFFF" filled="t" stroked="t" coordsize="21600,21600" o:gfxdata="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wLsmtcAAAAIAQAADwAAAAAAAAABACAAAAAiAAAAZHJzL2Rvd25y&#10;ZXYueG1sUEsBAhQAFAAAAAgAh07iQEZN3Fz/AQAABQQAAA4AAAAAAAAAAQAgAAAAJgEAAGRycy9l&#10;Mm9Eb2MueG1sUEsFBgAAAAAGAAYAWQEAAJcFAAAAAA==&#10;">
                      <v:fill on="t" focussize="0,0"/>
                      <v:stroke color="#000000" joinstyle="miter"/>
                      <v:imagedata o:title=""/>
                      <o:lock v:ext="edit" aspectratio="f"/>
                      <v:textbox>
                        <w:txbxContent>
                          <w:p>
                            <w:pPr>
                              <w:jc w:val="center"/>
                              <w:rPr>
                                <w:szCs w:val="21"/>
                              </w:rPr>
                            </w:pPr>
                            <w:r>
                              <w:rPr>
                                <w:rFonts w:hint="eastAsia"/>
                                <w:szCs w:val="21"/>
                              </w:rPr>
                              <w:t>絮凝沉淀池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4624" behindDoc="0" locked="0" layoutInCell="1" allowOverlap="1">
                      <wp:simplePos x="0" y="0"/>
                      <wp:positionH relativeFrom="column">
                        <wp:posOffset>2029460</wp:posOffset>
                      </wp:positionH>
                      <wp:positionV relativeFrom="paragraph">
                        <wp:posOffset>64135</wp:posOffset>
                      </wp:positionV>
                      <wp:extent cx="847725" cy="484505"/>
                      <wp:effectExtent l="0" t="0" r="28575" b="10795"/>
                      <wp:wrapNone/>
                      <wp:docPr id="164" name="文本框 164"/>
                      <wp:cNvGraphicFramePr/>
                      <a:graphic xmlns:a="http://schemas.openxmlformats.org/drawingml/2006/main">
                        <a:graphicData uri="http://schemas.microsoft.com/office/word/2010/wordprocessingShape">
                          <wps:wsp>
                            <wps:cNvSpPr txBox="1"/>
                            <wps:spPr>
                              <a:xfrm>
                                <a:off x="0" y="0"/>
                                <a:ext cx="847725" cy="48502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柳林县污水处理厂</w:t>
                                  </w:r>
                                </w:p>
                              </w:txbxContent>
                            </wps:txbx>
                            <wps:bodyPr upright="1">
                              <a:noAutofit/>
                            </wps:bodyPr>
                          </wps:wsp>
                        </a:graphicData>
                      </a:graphic>
                    </wp:anchor>
                  </w:drawing>
                </mc:Choice>
                <mc:Fallback>
                  <w:pict>
                    <v:shape id="_x0000_s1026" o:spid="_x0000_s1026" o:spt="202" type="#_x0000_t202" style="position:absolute;left:0pt;margin-left:159.8pt;margin-top:5.05pt;height:38.15pt;width:66.75pt;z-index:251674624;mso-width-relative:page;mso-height-relative:page;" fillcolor="#FFFFFF" filled="t" stroked="t" coordsize="21600,21600" o:gfxdata="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g8QVNcAAAAJAQAADwAAAAAAAAABACAAAAAiAAAAZHJzL2Rvd25yZXYu&#10;eG1sUEsBAhQAFAAAAAgAh07iQCCY6RX8AQAABQQAAA4AAAAAAAAAAQAgAAAAJgEAAGRycy9lMm9E&#10;b2MueG1sUEsFBgAAAAAGAAYAWQEAAJQFAAAAAA==&#10;">
                      <v:fill on="t" focussize="0,0"/>
                      <v:stroke color="#000000" joinstyle="miter"/>
                      <v:imagedata o:title=""/>
                      <o:lock v:ext="edit" aspectratio="f"/>
                      <v:textbox>
                        <w:txbxContent>
                          <w:p>
                            <w:pPr>
                              <w:jc w:val="center"/>
                              <w:rPr>
                                <w:szCs w:val="21"/>
                              </w:rPr>
                            </w:pPr>
                            <w:r>
                              <w:rPr>
                                <w:rFonts w:hint="eastAsia"/>
                                <w:szCs w:val="21"/>
                              </w:rPr>
                              <w:t>柳林县污水处理厂</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77696" behindDoc="0" locked="0" layoutInCell="1" allowOverlap="1">
                      <wp:simplePos x="0" y="0"/>
                      <wp:positionH relativeFrom="column">
                        <wp:posOffset>2862580</wp:posOffset>
                      </wp:positionH>
                      <wp:positionV relativeFrom="paragraph">
                        <wp:posOffset>101600</wp:posOffset>
                      </wp:positionV>
                      <wp:extent cx="368935" cy="0"/>
                      <wp:effectExtent l="0" t="48895" r="12065" b="65405"/>
                      <wp:wrapNone/>
                      <wp:docPr id="42" name="直接箭头连接符 42"/>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225.4pt;margin-top:8pt;height:0pt;width:29.05pt;z-index:251677696;mso-width-relative:page;mso-height-relative:page;" filled="f" stroked="t" coordsize="21600,21600" o:gfxdata="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DLMyPVAAAACQEAAA8AAAAAAAAAAQAgAAAAIgAA&#10;AGRycy9kb3ducmV2LnhtbFBLAQIUABQAAAAIAIdO4kB9X3E4CwIAAM8DAAAOAAAAAAAAAAEAIAAA&#10;ACQBAABkcnMvZTJvRG9jLnhtbFBLBQYAAAAABgAGAFkBAACh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75648" behindDoc="0" locked="0" layoutInCell="1" allowOverlap="1">
                      <wp:simplePos x="0" y="0"/>
                      <wp:positionH relativeFrom="column">
                        <wp:posOffset>4087495</wp:posOffset>
                      </wp:positionH>
                      <wp:positionV relativeFrom="paragraph">
                        <wp:posOffset>70485</wp:posOffset>
                      </wp:positionV>
                      <wp:extent cx="368935" cy="0"/>
                      <wp:effectExtent l="0" t="48895" r="12065" b="65405"/>
                      <wp:wrapNone/>
                      <wp:docPr id="165" name="直接箭头连接符 165"/>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21.85pt;margin-top:5.55pt;height:0pt;width:29.05pt;z-index:251675648;mso-width-relative:page;mso-height-relative:page;" filled="f" stroked="t" coordsize="21600,21600" o:gfxdata="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B5hg1gAAAAkBAAAPAAAAAAAAAAEAIAAAACIA&#10;AABkcnMvZG93bnJldi54bWxQSwECFAAUAAAACACHTuJAOfGmswsCAADRAwAADgAAAAAAAAABACAA&#10;AAAlAQAAZHJzL2Uyb0RvYy54bWxQSwUGAAAAAAYABgBZAQAAogU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0" w:firstLineChars="200"/>
              <w:jc w:val="center"/>
              <w:rPr>
                <w:rFonts w:ascii="Times New Roman" w:hAnsi="Times New Roman" w:eastAsia="宋体" w:cs="Times New Roman"/>
                <w:bCs/>
                <w:sz w:val="24"/>
                <w:szCs w:val="24"/>
              </w:rPr>
            </w:pPr>
            <w:r>
              <w:rPr>
                <w:rFonts w:ascii="Times New Roman" w:hAnsi="Times New Roman" w:eastAsia="宋体" w:cs="Times New Roman"/>
                <w:bCs/>
                <w:sz w:val="24"/>
                <w:szCs w:val="24"/>
              </w:rPr>
              <w:t>图5    污水处理工艺流程图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污水处理工艺流程：</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各生产单元废水经格栅拦截水中较大的漂浮物后进入调节池，调节水体PH至6.8-7.2，用提升泵将废水排入水解酸化池，水解酸化工艺利用厌氧菌的分解作用，将水体中的大分子物质降解为小分子。经处理后的废水中COD得到有效降低，废水进入好氧池，好氧池利用微生物的呼吸作用，小分子有机物北彻底分解成二氧化氮和水等无机物，完成废水中大部分有机污染物的去除。接触氧化池出水流入反应池，在池中投加混凝剂，通过加药混凝沉淀作用出水可达标排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综上所述，本项目生产废水经污水处理站预处理后，COD排放浓度为420mg/L，BOD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排放浓度为90mg/L，SS排放浓度为160mg/L，NH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-N排放浓度为30mg/L，均可满足《污水排入城镇下水道水质标准》（GB/T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级标准限值，满足柳林县污水处理厂进水水质标准要求。</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（2）排放口基本情况</w:t>
            </w:r>
          </w:p>
          <w:p>
            <w:pPr>
              <w:widowControl/>
              <w:adjustRightInd w:val="0"/>
              <w:snapToGrid w:val="0"/>
              <w:spacing w:line="480" w:lineRule="exact"/>
              <w:jc w:val="center"/>
              <w:rPr>
                <w:rFonts w:ascii="Times New Roman" w:hAnsi="Times New Roman" w:eastAsia="黑体" w:cs="Times New Roman"/>
                <w:bCs/>
                <w:snapToGrid w:val="0"/>
                <w:color w:val="FF0000"/>
                <w:kern w:val="0"/>
                <w:szCs w:val="21"/>
              </w:rPr>
            </w:pPr>
            <w:r>
              <w:rPr>
                <w:rFonts w:ascii="Times New Roman" w:hAnsi="Times New Roman" w:eastAsia="黑体" w:cs="Times New Roman"/>
                <w:bCs/>
                <w:snapToGrid w:val="0"/>
                <w:kern w:val="0"/>
                <w:szCs w:val="21"/>
              </w:rPr>
              <w:t>表22  排放口基本情况一览表</w:t>
            </w:r>
          </w:p>
          <w:tbl>
            <w:tblPr>
              <w:tblStyle w:val="21"/>
              <w:tblW w:w="95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9"/>
              <w:gridCol w:w="646"/>
              <w:gridCol w:w="874"/>
              <w:gridCol w:w="851"/>
              <w:gridCol w:w="1069"/>
              <w:gridCol w:w="847"/>
              <w:gridCol w:w="646"/>
              <w:gridCol w:w="3509"/>
              <w:gridCol w:w="6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4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废水类别</w:t>
                  </w:r>
                </w:p>
              </w:tc>
              <w:tc>
                <w:tcPr>
                  <w:tcW w:w="87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排放口编号</w:t>
                  </w:r>
                </w:p>
              </w:tc>
              <w:tc>
                <w:tcPr>
                  <w:tcW w:w="8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排放口名称</w:t>
                  </w:r>
                </w:p>
              </w:tc>
              <w:tc>
                <w:tcPr>
                  <w:tcW w:w="10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w:t>
                  </w:r>
                </w:p>
                <w:p>
                  <w:pPr>
                    <w:jc w:val="center"/>
                    <w:rPr>
                      <w:rFonts w:ascii="Times New Roman" w:hAnsi="Times New Roman" w:eastAsia="宋体" w:cs="Times New Roman"/>
                      <w:szCs w:val="21"/>
                    </w:rPr>
                  </w:pPr>
                  <w:r>
                    <w:rPr>
                      <w:rFonts w:ascii="Times New Roman" w:hAnsi="Times New Roman" w:eastAsia="宋体" w:cs="Times New Roman"/>
                      <w:szCs w:val="21"/>
                    </w:rPr>
                    <w:t>地理坐标</w:t>
                  </w:r>
                </w:p>
              </w:tc>
              <w:tc>
                <w:tcPr>
                  <w:tcW w:w="847"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排放口类型</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排放规律</w:t>
                  </w:r>
                </w:p>
              </w:tc>
              <w:tc>
                <w:tcPr>
                  <w:tcW w:w="35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排放去向</w:t>
                  </w:r>
                </w:p>
              </w:tc>
              <w:tc>
                <w:tcPr>
                  <w:tcW w:w="6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4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生活污水</w:t>
                  </w:r>
                </w:p>
              </w:tc>
              <w:tc>
                <w:tcPr>
                  <w:tcW w:w="87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0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47"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3509" w:type="dxa"/>
                  <w:vMerge w:val="restart"/>
                  <w:vAlign w:val="center"/>
                </w:tcPr>
                <w:p>
                  <w:pPr>
                    <w:rPr>
                      <w:rFonts w:ascii="Times New Roman" w:hAnsi="Times New Roman" w:eastAsia="宋体" w:cs="Times New Roman"/>
                      <w:szCs w:val="21"/>
                      <w:highlight w:val="yellow"/>
                    </w:rPr>
                  </w:pPr>
                  <w:r>
                    <w:rPr>
                      <w:rFonts w:ascii="Times New Roman" w:hAnsi="Times New Roman" w:eastAsia="宋体" w:cs="Times New Roman"/>
                      <w:szCs w:val="21"/>
                    </w:rPr>
                    <w:t>生活污水（其中食堂废水经隔油器处理）及生产废水经车间内废水管道进入厂区废水处理站预处理，处理后</w:t>
                  </w:r>
                  <w:r>
                    <w:rPr>
                      <w:rFonts w:hint="eastAsia" w:ascii="Times New Roman" w:hAnsi="Times New Roman" w:eastAsia="宋体" w:cs="Times New Roman"/>
                      <w:szCs w:val="21"/>
                    </w:rPr>
                    <w:t>排入</w:t>
                  </w:r>
                  <w:r>
                    <w:rPr>
                      <w:rFonts w:ascii="Times New Roman" w:hAnsi="Times New Roman" w:eastAsia="宋体" w:cs="Times New Roman"/>
                      <w:szCs w:val="21"/>
                    </w:rPr>
                    <w:t>柳林县污水处理厂处理</w:t>
                  </w:r>
                </w:p>
              </w:tc>
              <w:tc>
                <w:tcPr>
                  <w:tcW w:w="6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7" w:hRule="atLeast"/>
                <w:jc w:val="center"/>
              </w:trPr>
              <w:tc>
                <w:tcPr>
                  <w:tcW w:w="4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生产废水</w:t>
                  </w:r>
                </w:p>
              </w:tc>
              <w:tc>
                <w:tcPr>
                  <w:tcW w:w="874"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0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47"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64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3509" w:type="dxa"/>
                  <w:vMerge w:val="continue"/>
                  <w:vAlign w:val="center"/>
                </w:tcPr>
                <w:p>
                  <w:pPr>
                    <w:rPr>
                      <w:rFonts w:ascii="Times New Roman" w:hAnsi="Times New Roman" w:eastAsia="宋体" w:cs="Times New Roman"/>
                      <w:szCs w:val="21"/>
                      <w:highlight w:val="yellow"/>
                    </w:rPr>
                  </w:pPr>
                </w:p>
              </w:tc>
              <w:tc>
                <w:tcPr>
                  <w:tcW w:w="6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r>
          </w:tbl>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（3）依托柳林县污水处理厂的可行性分析：</w:t>
            </w:r>
          </w:p>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生活污水（其中食堂废水经隔油器处理）、生产废水经厂区污水处理站预处理后出水水质达到《污水排入城镇下水道水质标准》（GB/T31962-2015）表1 中A标准后，排入柳林县污水处理厂进行处理。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柳林县污水处理厂于2007年1月建设，2010年4月30日，原柳林县环境保护局以柳环函【2010】42号对“柳林县县城3万吨/日污水处理工程（一期2万吨/日）新建项目”进行了验收；2020年10进行了“柳林县污水处理厂改造工程”环评并下发环评批复，改造后处理工艺采用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/O工艺，处理规模为28000m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/d，目前该污水处理厂处理污水总量约为16400m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/d，剩余污水处理量为11600m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/d，可接收本项目产生的255.09m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/d，可确保本项目污水得到处理。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（4）废水不外排保证性</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本项目废水为生活废水、生产废水（清洗废水、浸泡废水、设备清洗废水、地面冲洗废水）。生活污水（其中食堂废水经隔油器处理）及生产废水经车间内废水管道进入厂区废水处理站预处理，处理后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最终由柳林县污水处理厂处理，不向外环境排放。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考虑废水不能及时运输至</w:t>
            </w:r>
            <w:r>
              <w:rPr>
                <w:rFonts w:ascii="Times New Roman" w:hAnsi="Times New Roman" w:eastAsia="宋体" w:cs="Times New Roman"/>
                <w:sz w:val="24"/>
                <w:szCs w:val="24"/>
              </w:rPr>
              <w:t>柳林县污水处理厂或水处理设备检修等情况，故在厂区设150m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的应急储水池（可暂存废水2天）。保证废水不外排。</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综上所述，本项目产生的废水全部</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最终由柳林县污水处理厂处理，废水不外排具有保证性。</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（5）监测要求</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通过工程分析可知，本项目无废水排放口，故本次评价未制定相关环境监测计划。</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（6）评价结论</w:t>
            </w:r>
          </w:p>
          <w:p>
            <w:pPr>
              <w:adjustRightInd w:val="0"/>
              <w:snapToGrid w:val="0"/>
              <w:spacing w:line="480" w:lineRule="exact"/>
              <w:ind w:firstLine="480" w:firstLineChars="200"/>
              <w:rPr>
                <w:rFonts w:ascii="Times New Roman" w:hAnsi="Times New Roman" w:cs="Times New Roman"/>
                <w:sz w:val="24"/>
              </w:rPr>
            </w:pPr>
            <w:r>
              <w:rPr>
                <w:rFonts w:ascii="Times New Roman" w:hAnsi="Times New Roman" w:eastAsia="宋体" w:cs="Times New Roman"/>
                <w:color w:val="000000"/>
                <w:sz w:val="24"/>
                <w:szCs w:val="24"/>
              </w:rPr>
              <w:t>本项目运营期严格执行上述水污染控制和水环境影响减缓措施后，可保证全厂区内无废水排放，不会对评价范围内地表水环境造成影响。从环境保护的角度分析，本工程对周围地表水环境影响较小。建设单位在认真落实本评价提出的各项环保措施后，项目建设对周围的地表水环境影响是可以接受的</w:t>
            </w:r>
            <w:r>
              <w:rPr>
                <w:rFonts w:ascii="Times New Roman" w:hAnsi="Times New Roman" w:cs="Times New Roman"/>
                <w:sz w:val="24"/>
              </w:rPr>
              <w:t>。</w:t>
            </w:r>
          </w:p>
          <w:p>
            <w:pPr>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3、噪声</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（1）噪声源相关参数</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表23  噪声源相关参数一览表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1468"/>
              <w:gridCol w:w="826"/>
              <w:gridCol w:w="1527"/>
              <w:gridCol w:w="1376"/>
              <w:gridCol w:w="1529"/>
              <w:gridCol w:w="1288"/>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jc w:val="center"/>
              </w:trPr>
              <w:tc>
                <w:tcPr>
                  <w:tcW w:w="482"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cs="Times New Roman"/>
                      <w:color w:val="000000"/>
                      <w:szCs w:val="21"/>
                      <w:lang w:val="zh-CN"/>
                    </w:rPr>
                    <w:t>序号</w:t>
                  </w:r>
                </w:p>
              </w:tc>
              <w:tc>
                <w:tcPr>
                  <w:tcW w:w="1468"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噪声源名称</w:t>
                  </w:r>
                </w:p>
              </w:tc>
              <w:tc>
                <w:tcPr>
                  <w:tcW w:w="826"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数量</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噪声级</w:t>
                  </w:r>
                </w:p>
              </w:tc>
              <w:tc>
                <w:tcPr>
                  <w:tcW w:w="1376"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安装位置</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声源类型</w:t>
                  </w:r>
                </w:p>
              </w:tc>
              <w:tc>
                <w:tcPr>
                  <w:tcW w:w="1288"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频率特性</w:t>
                  </w:r>
                </w:p>
              </w:tc>
              <w:tc>
                <w:tcPr>
                  <w:tcW w:w="1085"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lang w:val="zh-CN"/>
                    </w:rPr>
                    <w:t>作用时段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磨浆机</w:t>
                  </w:r>
                </w:p>
              </w:tc>
              <w:tc>
                <w:tcPr>
                  <w:tcW w:w="826" w:type="dxa"/>
                  <w:vAlign w:val="center"/>
                </w:tcPr>
                <w:p>
                  <w:pPr>
                    <w:autoSpaceDE w:val="0"/>
                    <w:autoSpaceDN w:val="0"/>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szCs w:val="21"/>
                    </w:rPr>
                    <w:t>17台</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85~95dB（A）</w:t>
                  </w:r>
                </w:p>
              </w:tc>
              <w:tc>
                <w:tcPr>
                  <w:tcW w:w="1376" w:type="dxa"/>
                  <w:vAlign w:val="center"/>
                </w:tcPr>
                <w:p>
                  <w:pPr>
                    <w:adjustRightInd w:val="0"/>
                    <w:jc w:val="center"/>
                    <w:rPr>
                      <w:rFonts w:ascii="Times New Roman" w:hAnsi="Times New Roman" w:eastAsia="宋体" w:cs="Times New Roman"/>
                      <w:color w:val="000000"/>
                      <w:szCs w:val="21"/>
                      <w:highlight w:val="gree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洗浆机</w:t>
                  </w:r>
                </w:p>
              </w:tc>
              <w:tc>
                <w:tcPr>
                  <w:tcW w:w="826" w:type="dxa"/>
                  <w:vAlign w:val="center"/>
                </w:tcPr>
                <w:p>
                  <w:pPr>
                    <w:autoSpaceDE w:val="0"/>
                    <w:autoSpaceDN w:val="0"/>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szCs w:val="21"/>
                    </w:rPr>
                    <w:t>5台</w:t>
                  </w:r>
                </w:p>
              </w:tc>
              <w:tc>
                <w:tcPr>
                  <w:tcW w:w="1527"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80~90dB（A）</w:t>
                  </w:r>
                </w:p>
              </w:tc>
              <w:tc>
                <w:tcPr>
                  <w:tcW w:w="1376" w:type="dxa"/>
                  <w:vAlign w:val="center"/>
                </w:tcPr>
                <w:p>
                  <w:pPr>
                    <w:adjustRightInd w:val="0"/>
                    <w:jc w:val="center"/>
                    <w:rPr>
                      <w:rFonts w:ascii="Times New Roman" w:hAnsi="Times New Roman" w:eastAsia="宋体" w:cs="Times New Roman"/>
                      <w:color w:val="000000"/>
                      <w:szCs w:val="21"/>
                      <w:highlight w:val="green"/>
                      <w:lang w:val="zh-C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lang w:val="zh-CN"/>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cs="Times New Roman"/>
                      <w:color w:val="000000"/>
                      <w:szCs w:val="21"/>
                    </w:rPr>
                  </w:pPr>
                  <w:r>
                    <w:rPr>
                      <w:rFonts w:ascii="Times New Roman" w:hAnsi="Times New Roman" w:cs="Times New Roman"/>
                      <w:color w:val="000000"/>
                      <w:szCs w:val="21"/>
                    </w:rPr>
                    <w:t>3</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洗豆机</w:t>
                  </w:r>
                </w:p>
              </w:tc>
              <w:tc>
                <w:tcPr>
                  <w:tcW w:w="826"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6台</w:t>
                  </w:r>
                </w:p>
              </w:tc>
              <w:tc>
                <w:tcPr>
                  <w:tcW w:w="1527" w:type="dxa"/>
                  <w:vAlign w:val="center"/>
                </w:tcPr>
                <w:p>
                  <w:pPr>
                    <w:adjustRightInd w:val="0"/>
                    <w:jc w:val="center"/>
                    <w:rPr>
                      <w:rFonts w:ascii="Times New Roman" w:hAnsi="Times New Roman" w:eastAsia="宋体" w:cs="Times New Roman"/>
                      <w:color w:val="000000"/>
                      <w:szCs w:val="21"/>
                    </w:rPr>
                  </w:pPr>
                  <w:r>
                    <w:rPr>
                      <w:rFonts w:ascii="Times New Roman" w:hAnsi="Times New Roman" w:cs="Times New Roman"/>
                      <w:color w:val="000000"/>
                      <w:szCs w:val="21"/>
                    </w:rPr>
                    <w:t>7</w:t>
                  </w:r>
                  <w:r>
                    <w:rPr>
                      <w:rFonts w:ascii="Times New Roman" w:hAnsi="Times New Roman" w:eastAsia="宋体" w:cs="Times New Roman"/>
                      <w:color w:val="000000"/>
                      <w:szCs w:val="21"/>
                    </w:rPr>
                    <w:t>5~</w:t>
                  </w:r>
                  <w:r>
                    <w:rPr>
                      <w:rFonts w:ascii="Times New Roman" w:hAnsi="Times New Roman" w:cs="Times New Roman"/>
                      <w:color w:val="000000"/>
                      <w:szCs w:val="21"/>
                    </w:rPr>
                    <w:t>8</w:t>
                  </w:r>
                  <w:r>
                    <w:rPr>
                      <w:rFonts w:ascii="Times New Roman" w:hAnsi="Times New Roman" w:eastAsia="宋体" w:cs="Times New Roman"/>
                      <w:color w:val="000000"/>
                      <w:szCs w:val="21"/>
                    </w:rPr>
                    <w:t>5dB（A）</w:t>
                  </w:r>
                </w:p>
              </w:tc>
              <w:tc>
                <w:tcPr>
                  <w:tcW w:w="1376" w:type="dxa"/>
                  <w:vAlign w:val="center"/>
                </w:tcPr>
                <w:p>
                  <w:pPr>
                    <w:adjustRightInd w:val="0"/>
                    <w:jc w:val="center"/>
                    <w:rPr>
                      <w:rFonts w:ascii="Times New Roman" w:hAnsi="Times New Roman" w:eastAsia="宋体" w:cs="Times New Roman"/>
                      <w:color w:val="000000"/>
                      <w:szCs w:val="21"/>
                      <w:highlight w:val="green"/>
                      <w:lang w:val="zh-C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 w:hRule="atLeast"/>
                <w:jc w:val="center"/>
              </w:trPr>
              <w:tc>
                <w:tcPr>
                  <w:tcW w:w="482"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cs="Times New Roman"/>
                      <w:color w:val="000000"/>
                      <w:szCs w:val="21"/>
                    </w:rPr>
                    <w:t>4</w:t>
                  </w:r>
                </w:p>
              </w:tc>
              <w:tc>
                <w:tcPr>
                  <w:tcW w:w="1468"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抽浆泵</w:t>
                  </w:r>
                </w:p>
              </w:tc>
              <w:tc>
                <w:tcPr>
                  <w:tcW w:w="826" w:type="dxa"/>
                  <w:vAlign w:val="center"/>
                </w:tcPr>
                <w:p>
                  <w:pPr>
                    <w:autoSpaceDE w:val="0"/>
                    <w:autoSpaceDN w:val="0"/>
                    <w:adjustRightInd w:val="0"/>
                    <w:jc w:val="center"/>
                    <w:rPr>
                      <w:rFonts w:ascii="Times New Roman" w:hAnsi="Times New Roman" w:eastAsia="宋体" w:cs="Times New Roman"/>
                      <w:color w:val="000000"/>
                      <w:szCs w:val="21"/>
                    </w:rPr>
                  </w:pPr>
                  <w:r>
                    <w:rPr>
                      <w:rFonts w:ascii="Times New Roman" w:hAnsi="Times New Roman" w:eastAsia="宋体" w:cs="Times New Roman"/>
                      <w:szCs w:val="21"/>
                    </w:rPr>
                    <w:t>6台</w:t>
                  </w:r>
                </w:p>
              </w:tc>
              <w:tc>
                <w:tcPr>
                  <w:tcW w:w="1527"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85~95dB（A）</w:t>
                  </w:r>
                </w:p>
              </w:tc>
              <w:tc>
                <w:tcPr>
                  <w:tcW w:w="1376" w:type="dxa"/>
                  <w:vAlign w:val="center"/>
                </w:tcPr>
                <w:p>
                  <w:pPr>
                    <w:adjustRightInd w:val="0"/>
                    <w:jc w:val="center"/>
                    <w:rPr>
                      <w:rFonts w:ascii="Times New Roman" w:hAnsi="Times New Roman" w:eastAsia="宋体" w:cs="Times New Roman"/>
                      <w:color w:val="000000"/>
                      <w:szCs w:val="21"/>
                      <w:highlight w:val="green"/>
                    </w:rPr>
                  </w:pPr>
                  <w:r>
                    <w:rPr>
                      <w:rFonts w:ascii="Times New Roman" w:hAnsi="Times New Roman" w:cs="Times New Roman"/>
                      <w:szCs w:val="21"/>
                    </w:rPr>
                    <w:t>生产车间</w:t>
                  </w:r>
                </w:p>
              </w:tc>
              <w:tc>
                <w:tcPr>
                  <w:tcW w:w="1529"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室内声源</w:t>
                  </w:r>
                </w:p>
              </w:tc>
              <w:tc>
                <w:tcPr>
                  <w:tcW w:w="1288"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频发</w:t>
                  </w:r>
                </w:p>
              </w:tc>
              <w:tc>
                <w:tcPr>
                  <w:tcW w:w="1085" w:type="dxa"/>
                  <w:vAlign w:val="center"/>
                </w:tcPr>
                <w:p>
                  <w:pPr>
                    <w:adjustRightIn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昼间</w:t>
                  </w:r>
                </w:p>
              </w:tc>
            </w:tr>
          </w:tbl>
          <w:p>
            <w:pPr>
              <w:adjustRightInd w:val="0"/>
              <w:snapToGrid w:val="0"/>
              <w:spacing w:line="480" w:lineRule="exact"/>
              <w:ind w:firstLine="480" w:firstLineChars="200"/>
              <w:rPr>
                <w:rFonts w:ascii="Times New Roman" w:hAnsi="Times New Roman" w:eastAsia="宋体" w:cs="Times New Roman"/>
                <w:color w:val="FF0000"/>
                <w:sz w:val="24"/>
              </w:rPr>
            </w:pPr>
            <w:r>
              <w:rPr>
                <w:rFonts w:ascii="Times New Roman" w:hAnsi="Times New Roman" w:cs="Times New Roman"/>
                <w:sz w:val="24"/>
              </w:rPr>
              <w:t>（2）噪声防治措施及降噪效果：</w:t>
            </w:r>
            <w:r>
              <w:rPr>
                <w:rFonts w:hint="eastAsia" w:ascii="宋体" w:hAnsi="宋体" w:eastAsia="宋体" w:cs="宋体"/>
                <w:sz w:val="24"/>
              </w:rPr>
              <w:t>①</w:t>
            </w:r>
            <w:r>
              <w:rPr>
                <w:rFonts w:ascii="Times New Roman" w:hAnsi="Times New Roman" w:cs="Times New Roman"/>
                <w:sz w:val="24"/>
              </w:rPr>
              <w:t>设备选择：在满足生产工艺的前提下，优先选择低噪声设备或具有消音隔声装置的设备，从源头降低噪声；</w:t>
            </w:r>
            <w:r>
              <w:rPr>
                <w:rFonts w:hint="eastAsia" w:ascii="宋体" w:hAnsi="宋体" w:eastAsia="宋体" w:cs="宋体"/>
                <w:sz w:val="24"/>
              </w:rPr>
              <w:t>②</w:t>
            </w:r>
            <w:r>
              <w:rPr>
                <w:rFonts w:ascii="Times New Roman" w:hAnsi="Times New Roman" w:cs="Times New Roman"/>
                <w:sz w:val="24"/>
              </w:rPr>
              <w:t>设备布局：综合考虑地形、声源方向性和噪声强弱等因素，充分利用厂内建筑物的隔声作用合理布置设备；</w:t>
            </w:r>
            <w:r>
              <w:rPr>
                <w:rFonts w:hint="eastAsia" w:ascii="宋体" w:hAnsi="宋体" w:eastAsia="宋体" w:cs="宋体"/>
                <w:sz w:val="24"/>
              </w:rPr>
              <w:t>③</w:t>
            </w:r>
            <w:r>
              <w:rPr>
                <w:rFonts w:ascii="Times New Roman" w:hAnsi="Times New Roman" w:cs="Times New Roman"/>
                <w:sz w:val="24"/>
              </w:rPr>
              <w:t>设备安装：采取减震措施；</w:t>
            </w:r>
            <w:r>
              <w:rPr>
                <w:rFonts w:hint="eastAsia" w:ascii="宋体" w:hAnsi="宋体" w:eastAsia="宋体" w:cs="宋体"/>
                <w:sz w:val="24"/>
              </w:rPr>
              <w:t>④</w:t>
            </w:r>
            <w:r>
              <w:rPr>
                <w:rFonts w:ascii="Times New Roman" w:hAnsi="Times New Roman" w:cs="Times New Roman"/>
                <w:sz w:val="24"/>
              </w:rPr>
              <w:t>设备维护：定期维护设备，确保设备处于良好的运行状态，杜绝因设备不正常运转产生高噪声的现象；采取上述措施后可降噪15~20dB（A）。</w:t>
            </w:r>
          </w:p>
          <w:p>
            <w:pPr>
              <w:adjustRightInd w:val="0"/>
              <w:snapToGrid w:val="0"/>
              <w:spacing w:line="480" w:lineRule="exact"/>
              <w:ind w:firstLine="480" w:firstLineChars="200"/>
              <w:rPr>
                <w:rFonts w:ascii="Times New Roman" w:hAnsi="Times New Roman" w:eastAsia="宋体" w:cs="Times New Roman"/>
                <w:sz w:val="24"/>
              </w:rPr>
            </w:pPr>
            <w:r>
              <w:rPr>
                <w:rFonts w:ascii="Times New Roman" w:hAnsi="Times New Roman" w:cs="Times New Roman"/>
                <w:sz w:val="24"/>
              </w:rPr>
              <w:t>（3）监测要求</w:t>
            </w:r>
          </w:p>
          <w:p>
            <w:pPr>
              <w:widowControl/>
              <w:adjustRightInd w:val="0"/>
              <w:snapToGrid w:val="0"/>
              <w:spacing w:line="480" w:lineRule="exact"/>
              <w:jc w:val="center"/>
              <w:rPr>
                <w:rFonts w:ascii="Times New Roman" w:hAnsi="Times New Roman" w:eastAsia="黑体" w:cs="Times New Roman"/>
                <w:bCs/>
                <w:snapToGrid w:val="0"/>
                <w:kern w:val="0"/>
                <w:szCs w:val="21"/>
              </w:rPr>
            </w:pPr>
            <w:r>
              <w:rPr>
                <w:rFonts w:ascii="Times New Roman" w:hAnsi="Times New Roman" w:eastAsia="黑体" w:cs="Times New Roman"/>
                <w:bCs/>
                <w:snapToGrid w:val="0"/>
                <w:kern w:val="0"/>
                <w:szCs w:val="21"/>
              </w:rPr>
              <w:t>表24  环境监测计划一览表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3712"/>
              <w:gridCol w:w="2239"/>
              <w:gridCol w:w="2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603" w:type="dxa"/>
                  <w:vAlign w:val="center"/>
                </w:tcPr>
                <w:p>
                  <w:pPr>
                    <w:jc w:val="center"/>
                    <w:rPr>
                      <w:rFonts w:ascii="Times New Roman" w:hAnsi="Times New Roman" w:cs="Times New Roman"/>
                      <w:szCs w:val="21"/>
                    </w:rPr>
                  </w:pPr>
                  <w:r>
                    <w:rPr>
                      <w:rFonts w:ascii="Times New Roman" w:hAnsi="Times New Roman" w:cs="Times New Roman"/>
                      <w:szCs w:val="21"/>
                    </w:rPr>
                    <w:t>监测类别</w:t>
                  </w:r>
                </w:p>
              </w:tc>
              <w:tc>
                <w:tcPr>
                  <w:tcW w:w="3712" w:type="dxa"/>
                  <w:vAlign w:val="center"/>
                </w:tcPr>
                <w:p>
                  <w:pPr>
                    <w:jc w:val="center"/>
                    <w:rPr>
                      <w:rFonts w:ascii="Times New Roman" w:hAnsi="Times New Roman" w:cs="Times New Roman"/>
                      <w:szCs w:val="21"/>
                    </w:rPr>
                  </w:pPr>
                  <w:r>
                    <w:rPr>
                      <w:rFonts w:ascii="Times New Roman" w:hAnsi="Times New Roman" w:cs="Times New Roman"/>
                      <w:szCs w:val="21"/>
                    </w:rPr>
                    <w:t>监测点位</w:t>
                  </w:r>
                </w:p>
              </w:tc>
              <w:tc>
                <w:tcPr>
                  <w:tcW w:w="2239" w:type="dxa"/>
                  <w:vAlign w:val="center"/>
                </w:tcPr>
                <w:p>
                  <w:pPr>
                    <w:jc w:val="center"/>
                    <w:rPr>
                      <w:rFonts w:ascii="Times New Roman" w:hAnsi="Times New Roman" w:cs="Times New Roman"/>
                      <w:szCs w:val="21"/>
                    </w:rPr>
                  </w:pPr>
                  <w:r>
                    <w:rPr>
                      <w:rFonts w:ascii="Times New Roman" w:hAnsi="Times New Roman" w:cs="Times New Roman"/>
                      <w:szCs w:val="21"/>
                    </w:rPr>
                    <w:t>监测项目</w:t>
                  </w:r>
                </w:p>
              </w:tc>
              <w:tc>
                <w:tcPr>
                  <w:tcW w:w="2027" w:type="dxa"/>
                  <w:vAlign w:val="center"/>
                </w:tcPr>
                <w:p>
                  <w:pPr>
                    <w:jc w:val="center"/>
                    <w:rPr>
                      <w:rFonts w:ascii="Times New Roman" w:hAnsi="Times New Roman" w:cs="Times New Roman"/>
                      <w:szCs w:val="21"/>
                    </w:rPr>
                  </w:pPr>
                  <w:r>
                    <w:rPr>
                      <w:rFonts w:ascii="Times New Roman" w:hAnsi="Times New Roman" w:cs="Times New Roman"/>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603" w:type="dxa"/>
                  <w:vAlign w:val="center"/>
                </w:tcPr>
                <w:p>
                  <w:pPr>
                    <w:jc w:val="center"/>
                    <w:rPr>
                      <w:rFonts w:ascii="Times New Roman" w:hAnsi="Times New Roman" w:cs="Times New Roman"/>
                      <w:szCs w:val="21"/>
                    </w:rPr>
                  </w:pPr>
                  <w:r>
                    <w:rPr>
                      <w:rFonts w:ascii="Times New Roman" w:hAnsi="Times New Roman" w:cs="Times New Roman"/>
                      <w:szCs w:val="21"/>
                    </w:rPr>
                    <w:t>噪声</w:t>
                  </w:r>
                </w:p>
              </w:tc>
              <w:tc>
                <w:tcPr>
                  <w:tcW w:w="3712" w:type="dxa"/>
                  <w:vAlign w:val="center"/>
                </w:tcPr>
                <w:p>
                  <w:pPr>
                    <w:jc w:val="center"/>
                    <w:rPr>
                      <w:rFonts w:ascii="Times New Roman" w:hAnsi="Times New Roman" w:cs="Times New Roman"/>
                      <w:szCs w:val="21"/>
                    </w:rPr>
                  </w:pPr>
                  <w:r>
                    <w:rPr>
                      <w:rFonts w:ascii="Times New Roman" w:hAnsi="Times New Roman" w:cs="Times New Roman"/>
                      <w:szCs w:val="21"/>
                    </w:rPr>
                    <w:t>厂区边界四周各设置1个监测点位</w:t>
                  </w:r>
                </w:p>
              </w:tc>
              <w:tc>
                <w:tcPr>
                  <w:tcW w:w="2239" w:type="dxa"/>
                  <w:vAlign w:val="center"/>
                </w:tcPr>
                <w:p>
                  <w:pPr>
                    <w:jc w:val="center"/>
                    <w:rPr>
                      <w:rFonts w:ascii="Times New Roman" w:hAnsi="Times New Roman" w:eastAsia="宋体" w:cs="Times New Roman"/>
                      <w:szCs w:val="21"/>
                    </w:rPr>
                  </w:pPr>
                  <w:r>
                    <w:rPr>
                      <w:rFonts w:ascii="Times New Roman" w:hAnsi="Times New Roman" w:cs="Times New Roman"/>
                      <w:position w:val="-14"/>
                      <w:szCs w:val="21"/>
                    </w:rPr>
                    <w:object>
                      <v:shape id="_x0000_i1025" o:spt="75" type="#_x0000_t75" style="height:14.95pt;width:10.2pt;" o:ole="t" filled="f" o:preferrelative="t" stroked="f" coordsize="21600,21600">
                        <v:path/>
                        <v:fill on="f" focussize="0,0"/>
                        <v:stroke on="f"/>
                        <v:imagedata r:id="rId15" o:title=""/>
                        <o:lock v:ext="edit" aspectratio="t"/>
                        <w10:wrap type="none"/>
                        <w10:anchorlock/>
                      </v:shape>
                      <o:OLEObject Type="Embed" ProgID="Equation.3" ShapeID="_x0000_i1025" DrawAspect="Content" ObjectID="_1468075726" r:id="rId14">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6" o:spt="75" type="#_x0000_t75" style="height:14.95pt;width:10.2pt;" o:ole="t" filled="f" o:preferrelative="t" stroked="f" coordsize="21600,21600">
                        <v:path/>
                        <v:fill on="f" focussize="0,0"/>
                        <v:stroke on="f"/>
                        <v:imagedata r:id="rId17" o:title=""/>
                        <o:lock v:ext="edit" aspectratio="t"/>
                        <w10:wrap type="none"/>
                        <w10:anchorlock/>
                      </v:shape>
                      <o:OLEObject Type="Embed" ProgID="Equation.3" ShapeID="_x0000_i1026" DrawAspect="Content" ObjectID="_1468075727" r:id="rId16">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7" o:spt="75" type="#_x0000_t75" style="height:14.95pt;width:10.2pt;" o:ole="t" filled="f" o:preferrelative="t" stroked="f" coordsize="21600,21600">
                        <v:path/>
                        <v:fill on="f" focussize="0,0"/>
                        <v:stroke on="f"/>
                        <v:imagedata r:id="rId19" o:title=""/>
                        <o:lock v:ext="edit" aspectratio="t"/>
                        <w10:wrap type="none"/>
                        <w10:anchorlock/>
                      </v:shape>
                      <o:OLEObject Type="Embed" ProgID="Equation.3" ShapeID="_x0000_i1027" DrawAspect="Content" ObjectID="_1468075728" r:id="rId18">
                        <o:LockedField>false</o:LockedField>
                      </o:OLEObject>
                    </w:object>
                  </w:r>
                  <w:r>
                    <w:rPr>
                      <w:rFonts w:ascii="Times New Roman" w:hAnsi="Times New Roman" w:cs="Times New Roman"/>
                      <w:szCs w:val="21"/>
                    </w:rPr>
                    <w:t>、</w:t>
                  </w:r>
                  <w:r>
                    <w:rPr>
                      <w:rFonts w:ascii="Times New Roman" w:hAnsi="Times New Roman" w:cs="Times New Roman"/>
                      <w:position w:val="-12"/>
                      <w:szCs w:val="21"/>
                    </w:rPr>
                    <w:object>
                      <v:shape id="_x0000_i1028" o:spt="75" type="#_x0000_t75" style="height:14.95pt;width:10.2pt;" o:ole="t" filled="f" o:preferrelative="t" stroked="f" coordsize="21600,21600">
                        <v:path/>
                        <v:fill on="f" focussize="0,0"/>
                        <v:stroke on="f"/>
                        <v:imagedata r:id="rId21" o:title=""/>
                        <o:lock v:ext="edit" aspectratio="t"/>
                        <w10:wrap type="none"/>
                        <w10:anchorlock/>
                      </v:shape>
                      <o:OLEObject Type="Embed" ProgID="Equation.3" ShapeID="_x0000_i1028" DrawAspect="Content" ObjectID="_1468075729" r:id="rId20">
                        <o:LockedField>false</o:LockedField>
                      </o:OLEObject>
                    </w:object>
                  </w:r>
                </w:p>
              </w:tc>
              <w:tc>
                <w:tcPr>
                  <w:tcW w:w="2027" w:type="dxa"/>
                  <w:vAlign w:val="center"/>
                </w:tcPr>
                <w:p>
                  <w:pPr>
                    <w:jc w:val="center"/>
                    <w:rPr>
                      <w:rFonts w:ascii="Times New Roman" w:hAnsi="Times New Roman" w:cs="Times New Roman"/>
                      <w:szCs w:val="21"/>
                    </w:rPr>
                  </w:pPr>
                  <w:r>
                    <w:rPr>
                      <w:rFonts w:ascii="Times New Roman" w:hAnsi="Times New Roman" w:cs="Times New Roman"/>
                      <w:szCs w:val="21"/>
                    </w:rPr>
                    <w:t>每季度1次</w:t>
                  </w:r>
                </w:p>
              </w:tc>
            </w:tr>
          </w:tbl>
          <w:p>
            <w:pPr>
              <w:widowControl/>
              <w:adjustRightInd w:val="0"/>
              <w:snapToGrid w:val="0"/>
              <w:spacing w:line="480" w:lineRule="exact"/>
              <w:ind w:firstLine="480" w:firstLineChars="200"/>
              <w:rPr>
                <w:rFonts w:ascii="Times New Roman" w:hAnsi="Times New Roman" w:cs="Times New Roman"/>
                <w:color w:val="000000"/>
                <w:sz w:val="24"/>
              </w:rPr>
            </w:pPr>
            <w:r>
              <w:rPr>
                <w:rFonts w:ascii="Times New Roman" w:hAnsi="Times New Roman" w:cs="Times New Roman"/>
                <w:color w:val="000000"/>
                <w:sz w:val="24"/>
              </w:rPr>
              <w:t>（4）评价结论</w:t>
            </w:r>
          </w:p>
          <w:p>
            <w:pPr>
              <w:widowControl/>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cs="Times New Roman"/>
                <w:color w:val="000000"/>
                <w:sz w:val="24"/>
              </w:rPr>
              <w:t>通过工程分析可</w:t>
            </w:r>
            <w:r>
              <w:rPr>
                <w:rFonts w:ascii="Times New Roman" w:hAnsi="Times New Roman" w:eastAsia="宋体" w:cs="Times New Roman"/>
                <w:color w:val="000000"/>
                <w:sz w:val="24"/>
                <w:szCs w:val="24"/>
              </w:rPr>
              <w:t>知，本次评价提出的</w:t>
            </w:r>
            <w:r>
              <w:rPr>
                <w:rFonts w:ascii="Times New Roman" w:hAnsi="Times New Roman" w:cs="Times New Roman"/>
                <w:color w:val="000000"/>
                <w:sz w:val="24"/>
              </w:rPr>
              <w:t>噪声防治措施降噪效果</w:t>
            </w:r>
            <w:r>
              <w:rPr>
                <w:rFonts w:ascii="Times New Roman" w:hAnsi="Times New Roman" w:eastAsia="宋体" w:cs="Times New Roman"/>
                <w:color w:val="000000"/>
                <w:sz w:val="24"/>
                <w:szCs w:val="24"/>
              </w:rPr>
              <w:t>显著，厂区边界噪声可稳定达标排放；且经现场踏勘了解，</w:t>
            </w:r>
            <w:r>
              <w:rPr>
                <w:rFonts w:ascii="Times New Roman" w:hAnsi="Times New Roman" w:eastAsia="宋体" w:cs="Times New Roman"/>
                <w:color w:val="000000"/>
                <w:sz w:val="24"/>
                <w:szCs w:val="24"/>
                <w:lang w:val="zh-CN"/>
              </w:rPr>
              <w:t>厂区边界向外延伸</w:t>
            </w:r>
            <w:r>
              <w:rPr>
                <w:rFonts w:ascii="Times New Roman" w:hAnsi="Times New Roman" w:eastAsia="宋体" w:cs="Times New Roman"/>
                <w:color w:val="000000"/>
                <w:sz w:val="24"/>
                <w:szCs w:val="24"/>
              </w:rPr>
              <w:t>50</w:t>
            </w:r>
            <w:r>
              <w:rPr>
                <w:rFonts w:ascii="Times New Roman" w:hAnsi="Times New Roman" w:eastAsia="宋体" w:cs="Times New Roman"/>
                <w:color w:val="000000"/>
                <w:sz w:val="24"/>
                <w:szCs w:val="24"/>
                <w:lang w:val="zh-CN"/>
              </w:rPr>
              <w:t>m范围内无声环境保护目标，</w:t>
            </w:r>
            <w:r>
              <w:rPr>
                <w:rFonts w:ascii="Times New Roman" w:hAnsi="Times New Roman" w:eastAsia="宋体" w:cs="Times New Roman"/>
                <w:color w:val="000000"/>
                <w:sz w:val="24"/>
                <w:szCs w:val="24"/>
              </w:rPr>
              <w:t>故本项目正常工况下影响范围内不涉及声环境敏感目标。</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4、固体废物</w:t>
            </w:r>
          </w:p>
          <w:p>
            <w:pPr>
              <w:adjustRightInd w:val="0"/>
              <w:snapToGrid w:val="0"/>
              <w:spacing w:line="480" w:lineRule="exact"/>
              <w:ind w:firstLine="480" w:firstLineChars="200"/>
              <w:rPr>
                <w:rFonts w:ascii="Times New Roman" w:hAnsi="Times New Roman" w:cs="Times New Roman"/>
                <w:sz w:val="24"/>
                <w:lang w:val="zh-CN"/>
              </w:rPr>
            </w:pPr>
            <w:r>
              <w:rPr>
                <w:rFonts w:ascii="Times New Roman" w:hAnsi="Times New Roman" w:cs="Times New Roman"/>
                <w:sz w:val="24"/>
                <w:lang w:val="zh-CN"/>
              </w:rPr>
              <w:t>（1）固体废物产生及污染防治措施</w:t>
            </w:r>
          </w:p>
          <w:p>
            <w:pPr>
              <w:adjustRightInd w:val="0"/>
              <w:snapToGrid w:val="0"/>
              <w:spacing w:line="480" w:lineRule="exact"/>
              <w:jc w:val="center"/>
              <w:rPr>
                <w:rFonts w:ascii="Times New Roman" w:hAnsi="Times New Roman" w:eastAsia="黑体" w:cs="Times New Roman"/>
                <w:bCs/>
              </w:rPr>
            </w:pPr>
            <w:r>
              <w:rPr>
                <w:rFonts w:ascii="Times New Roman" w:hAnsi="Times New Roman" w:eastAsia="黑体" w:cs="Times New Roman"/>
                <w:bCs/>
              </w:rPr>
              <w:t>表25  固体废物产生及污染防治措施一览表</w:t>
            </w:r>
          </w:p>
          <w:tbl>
            <w:tblPr>
              <w:tblStyle w:val="21"/>
              <w:tblW w:w="95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5"/>
              <w:gridCol w:w="728"/>
              <w:gridCol w:w="1200"/>
              <w:gridCol w:w="1146"/>
              <w:gridCol w:w="1955"/>
              <w:gridCol w:w="2163"/>
              <w:gridCol w:w="1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 w:hRule="atLeast"/>
                <w:jc w:val="center"/>
              </w:trPr>
              <w:tc>
                <w:tcPr>
                  <w:tcW w:w="1205" w:type="dxa"/>
                  <w:vAlign w:val="center"/>
                </w:tcPr>
                <w:p>
                  <w:pPr>
                    <w:adjustRightInd w:val="0"/>
                    <w:jc w:val="center"/>
                    <w:rPr>
                      <w:rFonts w:ascii="Times New Roman" w:hAnsi="Times New Roman" w:cs="Times New Roman"/>
                      <w:szCs w:val="21"/>
                    </w:rPr>
                  </w:pPr>
                  <w:r>
                    <w:rPr>
                      <w:rFonts w:ascii="Times New Roman" w:hAnsi="Times New Roman" w:cs="Times New Roman"/>
                      <w:szCs w:val="21"/>
                      <w:lang w:val="zh-CN"/>
                    </w:rPr>
                    <w:t>产生环节</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名称</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属性</w:t>
                  </w:r>
                </w:p>
              </w:tc>
              <w:tc>
                <w:tcPr>
                  <w:tcW w:w="1146"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产生量</w:t>
                  </w:r>
                </w:p>
              </w:tc>
              <w:tc>
                <w:tcPr>
                  <w:tcW w:w="195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贮存场所</w:t>
                  </w:r>
                </w:p>
              </w:tc>
              <w:tc>
                <w:tcPr>
                  <w:tcW w:w="2163"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处置方式和去向</w:t>
                  </w:r>
                </w:p>
              </w:tc>
              <w:tc>
                <w:tcPr>
                  <w:tcW w:w="118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处置量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生产过程</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豆渣</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rPr>
                    <w:t>2467.5t/a</w:t>
                  </w:r>
                </w:p>
              </w:tc>
              <w:tc>
                <w:tcPr>
                  <w:tcW w:w="1955"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szCs w:val="21"/>
                      <w:lang w:val="zh-CN"/>
                    </w:rPr>
                  </w:pPr>
                  <w:r>
                    <w:rPr>
                      <w:rFonts w:ascii="Times New Roman" w:hAnsi="Times New Roman" w:cs="Times New Roman"/>
                      <w:szCs w:val="21"/>
                    </w:rPr>
                    <w:t>定期</w:t>
                  </w:r>
                  <w:r>
                    <w:rPr>
                      <w:rFonts w:hint="eastAsia" w:ascii="Times New Roman" w:hAnsi="Times New Roman" w:cs="Times New Roman"/>
                      <w:szCs w:val="21"/>
                    </w:rPr>
                    <w:t>外售</w:t>
                  </w:r>
                  <w:r>
                    <w:rPr>
                      <w:rFonts w:ascii="Times New Roman" w:hAnsi="Times New Roman" w:cs="Times New Roman"/>
                      <w:szCs w:val="21"/>
                    </w:rPr>
                    <w:t>至</w:t>
                  </w:r>
                  <w:r>
                    <w:rPr>
                      <w:rFonts w:hint="eastAsia" w:ascii="Times New Roman" w:hAnsi="Times New Roman" w:cs="Times New Roman"/>
                      <w:szCs w:val="21"/>
                    </w:rPr>
                    <w:t>内黄县二安镇红勤饲料原料购销门市部，综合利用</w:t>
                  </w:r>
                </w:p>
              </w:tc>
              <w:tc>
                <w:tcPr>
                  <w:tcW w:w="1184" w:type="dxa"/>
                  <w:vAlign w:val="center"/>
                </w:tcPr>
                <w:p>
                  <w:pPr>
                    <w:adjustRightInd w:val="0"/>
                    <w:jc w:val="center"/>
                    <w:rPr>
                      <w:rFonts w:ascii="Times New Roman" w:hAnsi="Times New Roman" w:cs="Times New Roman"/>
                      <w:szCs w:val="21"/>
                      <w:highlight w:val="yellow"/>
                      <w:lang w:val="zh-CN"/>
                    </w:rPr>
                  </w:pPr>
                  <w:r>
                    <w:rPr>
                      <w:rFonts w:ascii="Times New Roman" w:hAnsi="Times New Roman" w:cs="Times New Roman"/>
                      <w:szCs w:val="21"/>
                    </w:rPr>
                    <w:t>2467.5t/a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1"/>
                    </w:rPr>
                    <w:t>质检</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eastAsia="宋体" w:cs="Times New Roman"/>
                      <w:szCs w:val="21"/>
                    </w:rPr>
                    <w:t>不合格品</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rPr>
                  </w:pPr>
                  <w:r>
                    <w:rPr>
                      <w:rFonts w:ascii="Times New Roman" w:hAnsi="Times New Roman" w:cs="Times New Roman"/>
                      <w:szCs w:val="21"/>
                    </w:rPr>
                    <w:t>5t/a</w:t>
                  </w:r>
                </w:p>
              </w:tc>
              <w:tc>
                <w:tcPr>
                  <w:tcW w:w="1955" w:type="dxa"/>
                  <w:vAlign w:val="center"/>
                </w:tcPr>
                <w:p>
                  <w:pPr>
                    <w:adjustRightInd w:val="0"/>
                    <w:jc w:val="center"/>
                    <w:rPr>
                      <w:rFonts w:ascii="Times New Roman" w:hAnsi="Times New Roman" w:cs="Times New Roman"/>
                      <w:szCs w:val="21"/>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szCs w:val="21"/>
                      <w:lang w:val="zh-CN"/>
                    </w:rPr>
                  </w:pPr>
                  <w:r>
                    <w:rPr>
                      <w:rFonts w:ascii="Times New Roman" w:hAnsi="Times New Roman" w:cs="Times New Roman"/>
                      <w:szCs w:val="21"/>
                    </w:rPr>
                    <w:t>定期</w:t>
                  </w:r>
                  <w:r>
                    <w:rPr>
                      <w:rFonts w:hint="eastAsia" w:ascii="Times New Roman" w:hAnsi="Times New Roman" w:cs="Times New Roman"/>
                      <w:szCs w:val="21"/>
                    </w:rPr>
                    <w:t>外售</w:t>
                  </w:r>
                  <w:r>
                    <w:rPr>
                      <w:rFonts w:ascii="Times New Roman" w:hAnsi="Times New Roman" w:cs="Times New Roman"/>
                      <w:szCs w:val="21"/>
                    </w:rPr>
                    <w:t>至</w:t>
                  </w:r>
                  <w:r>
                    <w:rPr>
                      <w:rFonts w:hint="eastAsia" w:ascii="Times New Roman" w:hAnsi="Times New Roman" w:cs="Times New Roman"/>
                      <w:szCs w:val="21"/>
                    </w:rPr>
                    <w:t>内黄县二安镇红勤饲料原料购销门市部</w:t>
                  </w:r>
                  <w:r>
                    <w:rPr>
                      <w:rFonts w:hint="eastAsia" w:ascii="Times New Roman" w:hAnsi="Times New Roman" w:cs="Times New Roman"/>
                    </w:rPr>
                    <w:t>，综合利用</w:t>
                  </w:r>
                </w:p>
              </w:tc>
              <w:tc>
                <w:tcPr>
                  <w:tcW w:w="1184"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rPr>
                    <w:t>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color w:val="000000"/>
                      <w:szCs w:val="21"/>
                      <w:lang w:val="zh-CN"/>
                    </w:rPr>
                    <w:t>污水处理</w:t>
                  </w:r>
                </w:p>
              </w:tc>
              <w:tc>
                <w:tcPr>
                  <w:tcW w:w="728"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污泥</w:t>
                  </w:r>
                </w:p>
              </w:tc>
              <w:tc>
                <w:tcPr>
                  <w:tcW w:w="1200"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一般工业固体废物</w:t>
                  </w:r>
                </w:p>
              </w:tc>
              <w:tc>
                <w:tcPr>
                  <w:tcW w:w="1146" w:type="dxa"/>
                  <w:vAlign w:val="center"/>
                </w:tcPr>
                <w:p>
                  <w:pPr>
                    <w:adjustRightInd w:val="0"/>
                    <w:jc w:val="center"/>
                    <w:rPr>
                      <w:rFonts w:ascii="Times New Roman" w:hAnsi="Times New Roman" w:cs="Times New Roman"/>
                      <w:color w:val="000000"/>
                      <w:szCs w:val="21"/>
                    </w:rPr>
                  </w:pPr>
                  <w:r>
                    <w:rPr>
                      <w:rFonts w:ascii="Times New Roman" w:hAnsi="Times New Roman" w:cs="Times New Roman"/>
                      <w:color w:val="000000"/>
                      <w:szCs w:val="21"/>
                    </w:rPr>
                    <w:t>25t/a</w:t>
                  </w:r>
                </w:p>
              </w:tc>
              <w:tc>
                <w:tcPr>
                  <w:tcW w:w="195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color w:val="000000"/>
                      <w:szCs w:val="21"/>
                    </w:rPr>
                  </w:pPr>
                  <w:r>
                    <w:rPr>
                      <w:rFonts w:ascii="Times New Roman" w:hAnsi="Times New Roman" w:cs="Times New Roman"/>
                      <w:color w:val="000000"/>
                      <w:szCs w:val="21"/>
                    </w:rPr>
                    <w:t>集中收集后作为肥料、外售</w:t>
                  </w:r>
                </w:p>
              </w:tc>
              <w:tc>
                <w:tcPr>
                  <w:tcW w:w="1184"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rPr>
                    <w:t>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原料包装</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废包装袋</w:t>
                  </w:r>
                </w:p>
              </w:tc>
              <w:tc>
                <w:tcPr>
                  <w:tcW w:w="1200"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lang w:val="zh-CN"/>
                    </w:rPr>
                    <w:t>一般工业固体废物</w:t>
                  </w:r>
                </w:p>
              </w:tc>
              <w:tc>
                <w:tcPr>
                  <w:tcW w:w="1146" w:type="dxa"/>
                  <w:vAlign w:val="center"/>
                </w:tcPr>
                <w:p>
                  <w:pPr>
                    <w:adjustRightInd w:val="0"/>
                    <w:jc w:val="center"/>
                    <w:rPr>
                      <w:rFonts w:ascii="Times New Roman" w:hAnsi="Times New Roman" w:cs="Times New Roman"/>
                      <w:color w:val="000000"/>
                      <w:szCs w:val="21"/>
                    </w:rPr>
                  </w:pPr>
                  <w:r>
                    <w:rPr>
                      <w:rFonts w:ascii="Times New Roman" w:hAnsi="Times New Roman" w:cs="Times New Roman"/>
                      <w:color w:val="000000"/>
                      <w:szCs w:val="21"/>
                    </w:rPr>
                    <w:t>0.1t/a</w:t>
                  </w:r>
                </w:p>
              </w:tc>
              <w:tc>
                <w:tcPr>
                  <w:tcW w:w="1955" w:type="dxa"/>
                  <w:vAlign w:val="center"/>
                </w:tcPr>
                <w:p>
                  <w:pPr>
                    <w:adjustRightInd w:val="0"/>
                    <w:jc w:val="center"/>
                    <w:rPr>
                      <w:rFonts w:ascii="Times New Roman" w:hAnsi="Times New Roman" w:cs="Times New Roman"/>
                      <w:color w:val="000000"/>
                      <w:szCs w:val="21"/>
                      <w:lang w:val="zh-CN"/>
                    </w:rPr>
                  </w:pPr>
                  <w:r>
                    <w:rPr>
                      <w:rFonts w:ascii="Times New Roman" w:hAnsi="Times New Roman" w:eastAsia="宋体" w:cs="Times New Roman"/>
                      <w:szCs w:val="24"/>
                    </w:rPr>
                    <w:t>一般工业固体废物暂存库</w:t>
                  </w:r>
                </w:p>
              </w:tc>
              <w:tc>
                <w:tcPr>
                  <w:tcW w:w="2163" w:type="dxa"/>
                  <w:vAlign w:val="center"/>
                </w:tcPr>
                <w:p>
                  <w:pPr>
                    <w:adjustRightInd w:val="0"/>
                    <w:rPr>
                      <w:rFonts w:ascii="Times New Roman" w:hAnsi="Times New Roman" w:cs="Times New Roman"/>
                      <w:color w:val="000000"/>
                      <w:szCs w:val="21"/>
                    </w:rPr>
                  </w:pPr>
                  <w:r>
                    <w:rPr>
                      <w:rFonts w:ascii="Times New Roman" w:hAnsi="Times New Roman" w:cs="Times New Roman"/>
                      <w:color w:val="000000"/>
                      <w:szCs w:val="21"/>
                    </w:rPr>
                    <w:t>由供货厂家回收</w:t>
                  </w:r>
                </w:p>
              </w:tc>
              <w:tc>
                <w:tcPr>
                  <w:tcW w:w="1184" w:type="dxa"/>
                  <w:vAlign w:val="center"/>
                </w:tcPr>
                <w:p>
                  <w:pPr>
                    <w:adjustRightInd w:val="0"/>
                    <w:jc w:val="center"/>
                    <w:rPr>
                      <w:rFonts w:ascii="Times New Roman" w:hAnsi="Times New Roman" w:cs="Times New Roman"/>
                      <w:color w:val="000000"/>
                      <w:szCs w:val="21"/>
                      <w:lang w:val="zh-CN"/>
                    </w:rPr>
                  </w:pPr>
                  <w:r>
                    <w:rPr>
                      <w:rFonts w:ascii="Times New Roman" w:hAnsi="Times New Roman" w:cs="Times New Roman"/>
                      <w:color w:val="000000"/>
                      <w:szCs w:val="21"/>
                    </w:rPr>
                    <w:t>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清洗浸泡</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滤渣</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一般工业固体废物</w:t>
                  </w:r>
                </w:p>
              </w:tc>
              <w:tc>
                <w:tcPr>
                  <w:tcW w:w="1146" w:type="dxa"/>
                  <w:vAlign w:val="center"/>
                </w:tcPr>
                <w:p>
                  <w:pPr>
                    <w:adjustRightInd w:val="0"/>
                    <w:jc w:val="center"/>
                    <w:rPr>
                      <w:rFonts w:ascii="Times New Roman" w:hAnsi="Times New Roman" w:cs="Times New Roman"/>
                      <w:szCs w:val="21"/>
                    </w:rPr>
                  </w:pPr>
                  <w:r>
                    <w:rPr>
                      <w:rFonts w:ascii="Times New Roman" w:hAnsi="Times New Roman" w:cs="Times New Roman"/>
                      <w:szCs w:val="21"/>
                    </w:rPr>
                    <w:t>2.5t/a</w:t>
                  </w:r>
                </w:p>
              </w:tc>
              <w:tc>
                <w:tcPr>
                  <w:tcW w:w="1955" w:type="dxa"/>
                  <w:vMerge w:val="restart"/>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带盖的垃圾桶</w:t>
                  </w:r>
                </w:p>
              </w:tc>
              <w:tc>
                <w:tcPr>
                  <w:tcW w:w="2163" w:type="dxa"/>
                  <w:vMerge w:val="restart"/>
                  <w:vAlign w:val="center"/>
                </w:tcPr>
                <w:p>
                  <w:pPr>
                    <w:adjustRightInd w:val="0"/>
                    <w:rPr>
                      <w:rFonts w:ascii="Times New Roman" w:hAnsi="Times New Roman" w:cs="Times New Roman"/>
                      <w:color w:val="000000"/>
                      <w:szCs w:val="21"/>
                    </w:rPr>
                  </w:pPr>
                  <w:r>
                    <w:rPr>
                      <w:rFonts w:ascii="Times New Roman" w:hAnsi="Times New Roman" w:cs="Times New Roman"/>
                      <w:szCs w:val="21"/>
                      <w:lang w:val="zh-CN"/>
                    </w:rPr>
                    <w:t>由汽车定期运往</w:t>
                  </w:r>
                  <w:r>
                    <w:rPr>
                      <w:rFonts w:hint="eastAsia" w:ascii="Times New Roman" w:hAnsi="Times New Roman" w:cs="Times New Roman"/>
                      <w:szCs w:val="21"/>
                    </w:rPr>
                    <w:t>安沟</w:t>
                  </w:r>
                  <w:r>
                    <w:rPr>
                      <w:rFonts w:ascii="Times New Roman" w:hAnsi="Times New Roman" w:cs="Times New Roman"/>
                      <w:szCs w:val="21"/>
                    </w:rPr>
                    <w:t>村</w:t>
                  </w:r>
                  <w:r>
                    <w:rPr>
                      <w:rFonts w:ascii="Times New Roman" w:hAnsi="Times New Roman" w:cs="Times New Roman"/>
                      <w:szCs w:val="21"/>
                      <w:lang w:val="zh-CN"/>
                    </w:rPr>
                    <w:t>生活垃圾收集点，由</w:t>
                  </w:r>
                  <w:r>
                    <w:rPr>
                      <w:rFonts w:hint="eastAsia" w:ascii="Times New Roman" w:hAnsi="Times New Roman" w:cs="Times New Roman"/>
                      <w:szCs w:val="21"/>
                    </w:rPr>
                    <w:t>安沟</w:t>
                  </w:r>
                  <w:r>
                    <w:rPr>
                      <w:rFonts w:ascii="Times New Roman" w:hAnsi="Times New Roman" w:cs="Times New Roman"/>
                      <w:szCs w:val="21"/>
                    </w:rPr>
                    <w:t>村</w:t>
                  </w:r>
                  <w:r>
                    <w:rPr>
                      <w:rFonts w:ascii="Times New Roman" w:hAnsi="Times New Roman" w:cs="Times New Roman"/>
                      <w:szCs w:val="21"/>
                      <w:lang w:val="zh-CN"/>
                    </w:rPr>
                    <w:t>村委定期统一清运处理</w:t>
                  </w:r>
                </w:p>
              </w:tc>
              <w:tc>
                <w:tcPr>
                  <w:tcW w:w="1184" w:type="dxa"/>
                  <w:vMerge w:val="restart"/>
                  <w:vAlign w:val="center"/>
                </w:tcPr>
                <w:p>
                  <w:pPr>
                    <w:adjustRightInd w:val="0"/>
                    <w:jc w:val="center"/>
                    <w:rPr>
                      <w:rFonts w:ascii="Times New Roman" w:hAnsi="Times New Roman" w:cs="Times New Roman"/>
                      <w:color w:val="000000"/>
                      <w:szCs w:val="21"/>
                    </w:rPr>
                  </w:pPr>
                  <w:r>
                    <w:rPr>
                      <w:rFonts w:ascii="Times New Roman" w:hAnsi="Times New Roman" w:cs="Times New Roman"/>
                      <w:szCs w:val="21"/>
                    </w:rPr>
                    <w:t>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05" w:type="dxa"/>
                  <w:vAlign w:val="center"/>
                </w:tcPr>
                <w:p>
                  <w:pPr>
                    <w:autoSpaceDE w:val="0"/>
                    <w:autoSpaceDN w:val="0"/>
                    <w:adjustRightInd w:val="0"/>
                    <w:jc w:val="center"/>
                    <w:rPr>
                      <w:rFonts w:ascii="Times New Roman" w:hAnsi="Times New Roman" w:cs="Times New Roman"/>
                      <w:szCs w:val="21"/>
                      <w:lang w:val="zh-CN"/>
                    </w:rPr>
                  </w:pPr>
                  <w:r>
                    <w:rPr>
                      <w:rFonts w:ascii="Times New Roman" w:hAnsi="Times New Roman" w:cs="Times New Roman"/>
                      <w:szCs w:val="21"/>
                    </w:rPr>
                    <w:t>职工办公生活</w:t>
                  </w:r>
                </w:p>
              </w:tc>
              <w:tc>
                <w:tcPr>
                  <w:tcW w:w="728"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生活垃圾</w:t>
                  </w:r>
                </w:p>
              </w:tc>
              <w:tc>
                <w:tcPr>
                  <w:tcW w:w="1200" w:type="dxa"/>
                  <w:vAlign w:val="center"/>
                </w:tcPr>
                <w:p>
                  <w:pPr>
                    <w:adjustRightInd w:val="0"/>
                    <w:jc w:val="center"/>
                    <w:rPr>
                      <w:rFonts w:ascii="Times New Roman" w:hAnsi="Times New Roman" w:cs="Times New Roman"/>
                      <w:szCs w:val="21"/>
                      <w:lang w:val="zh-CN"/>
                    </w:rPr>
                  </w:pPr>
                  <w:r>
                    <w:rPr>
                      <w:rFonts w:ascii="Times New Roman" w:hAnsi="Times New Roman" w:cs="Times New Roman"/>
                      <w:szCs w:val="21"/>
                      <w:lang w:val="zh-CN"/>
                    </w:rPr>
                    <w:t>生活垃圾</w:t>
                  </w:r>
                </w:p>
              </w:tc>
              <w:tc>
                <w:tcPr>
                  <w:tcW w:w="1146" w:type="dxa"/>
                  <w:vAlign w:val="center"/>
                </w:tcPr>
                <w:p>
                  <w:pPr>
                    <w:adjustRightInd w:val="0"/>
                    <w:jc w:val="center"/>
                    <w:rPr>
                      <w:rFonts w:ascii="Times New Roman" w:hAnsi="Times New Roman" w:cs="Times New Roman"/>
                      <w:szCs w:val="21"/>
                    </w:rPr>
                  </w:pPr>
                  <w:r>
                    <w:rPr>
                      <w:rFonts w:ascii="Times New Roman" w:hAnsi="Times New Roman" w:cs="Times New Roman"/>
                      <w:szCs w:val="21"/>
                    </w:rPr>
                    <w:t>22.5t/a</w:t>
                  </w:r>
                </w:p>
              </w:tc>
              <w:tc>
                <w:tcPr>
                  <w:tcW w:w="1955" w:type="dxa"/>
                  <w:vMerge w:val="continue"/>
                  <w:vAlign w:val="center"/>
                </w:tcPr>
                <w:p>
                  <w:pPr>
                    <w:adjustRightInd w:val="0"/>
                    <w:jc w:val="center"/>
                    <w:rPr>
                      <w:rFonts w:ascii="Times New Roman" w:hAnsi="Times New Roman" w:cs="Times New Roman"/>
                      <w:szCs w:val="21"/>
                      <w:lang w:val="zh-CN"/>
                    </w:rPr>
                  </w:pPr>
                </w:p>
              </w:tc>
              <w:tc>
                <w:tcPr>
                  <w:tcW w:w="2163" w:type="dxa"/>
                  <w:vMerge w:val="continue"/>
                  <w:vAlign w:val="center"/>
                </w:tcPr>
                <w:p>
                  <w:pPr>
                    <w:adjustRightInd w:val="0"/>
                    <w:rPr>
                      <w:rFonts w:ascii="Times New Roman" w:hAnsi="Times New Roman" w:cs="Times New Roman"/>
                      <w:szCs w:val="21"/>
                      <w:lang w:val="zh-CN"/>
                    </w:rPr>
                  </w:pPr>
                </w:p>
              </w:tc>
              <w:tc>
                <w:tcPr>
                  <w:tcW w:w="1184" w:type="dxa"/>
                  <w:vMerge w:val="continue"/>
                  <w:vAlign w:val="center"/>
                </w:tcPr>
                <w:p>
                  <w:pPr>
                    <w:adjustRightInd w:val="0"/>
                    <w:jc w:val="center"/>
                    <w:rPr>
                      <w:rFonts w:ascii="Times New Roman" w:hAnsi="Times New Roman" w:cs="Times New Roman"/>
                      <w:szCs w:val="21"/>
                      <w:lang w:val="zh-CN"/>
                    </w:rPr>
                  </w:pPr>
                </w:p>
              </w:tc>
            </w:tr>
          </w:tbl>
          <w:p>
            <w:pPr>
              <w:adjustRightInd w:val="0"/>
              <w:snapToGrid w:val="0"/>
              <w:spacing w:line="480" w:lineRule="exact"/>
              <w:ind w:firstLine="480" w:firstLineChars="200"/>
              <w:rPr>
                <w:rFonts w:ascii="Times New Roman" w:hAnsi="Times New Roman" w:cs="Times New Roman"/>
                <w:sz w:val="24"/>
                <w:lang w:val="zh-CN"/>
              </w:rPr>
            </w:pPr>
            <w:r>
              <w:rPr>
                <w:rFonts w:ascii="Times New Roman" w:hAnsi="Times New Roman" w:cs="Times New Roman"/>
                <w:sz w:val="24"/>
                <w:lang w:val="zh-CN"/>
              </w:rPr>
              <w:t>（2）环境管理要求</w:t>
            </w:r>
          </w:p>
          <w:p>
            <w:pPr>
              <w:adjustRightInd w:val="0"/>
              <w:snapToGrid w:val="0"/>
              <w:spacing w:line="480" w:lineRule="exact"/>
              <w:ind w:firstLine="480" w:firstLineChars="200"/>
              <w:rPr>
                <w:rFonts w:ascii="Times New Roman" w:hAnsi="Times New Roman" w:cs="Times New Roman"/>
                <w:sz w:val="24"/>
              </w:rPr>
            </w:pPr>
            <w:r>
              <w:rPr>
                <w:rFonts w:hint="eastAsia" w:ascii="宋体" w:hAnsi="宋体" w:eastAsia="宋体" w:cs="宋体"/>
                <w:sz w:val="24"/>
              </w:rPr>
              <w:t>①</w:t>
            </w:r>
            <w:r>
              <w:rPr>
                <w:rFonts w:ascii="Times New Roman" w:hAnsi="Times New Roman" w:cs="Times New Roman"/>
                <w:sz w:val="24"/>
              </w:rPr>
              <w:t>一般工业固体废物</w:t>
            </w:r>
          </w:p>
          <w:p>
            <w:pPr>
              <w:adjustRightInd w:val="0"/>
              <w:snapToGrid w:val="0"/>
              <w:spacing w:line="480" w:lineRule="exact"/>
              <w:ind w:firstLine="480" w:firstLineChars="200"/>
              <w:rPr>
                <w:rFonts w:ascii="Times New Roman" w:hAnsi="Times New Roman" w:cs="Times New Roman"/>
                <w:sz w:val="24"/>
              </w:rPr>
            </w:pPr>
            <w:r>
              <w:rPr>
                <w:rFonts w:ascii="Times New Roman" w:hAnsi="Times New Roman" w:cs="Times New Roman"/>
                <w:sz w:val="24"/>
              </w:rPr>
              <w:t>综合考虑各方面因素，本项目产生的一般工业固体废物在大多数情况下不能全部直接清运出厂，故在厂区内设置1间一般工业固体废物暂存库（位于厂区内</w:t>
            </w:r>
            <w:r>
              <w:rPr>
                <w:rFonts w:hint="eastAsia" w:ascii="Times New Roman" w:hAnsi="Times New Roman" w:cs="Times New Roman"/>
                <w:sz w:val="24"/>
              </w:rPr>
              <w:t>北侧</w:t>
            </w:r>
            <w:r>
              <w:rPr>
                <w:rFonts w:ascii="Times New Roman" w:hAnsi="Times New Roman" w:cs="Times New Roman"/>
                <w:sz w:val="24"/>
              </w:rPr>
              <w:t>，长*宽*高：20m*15m*6m）。参照</w:t>
            </w:r>
            <w:r>
              <w:rPr>
                <w:rFonts w:ascii="Times New Roman" w:hAnsi="Times New Roman" w:eastAsia="宋体" w:cs="Times New Roman"/>
                <w:sz w:val="24"/>
                <w:szCs w:val="24"/>
                <w:lang w:val="zh-CN"/>
              </w:rPr>
              <w:t>《一般工业固体废物贮存和填埋污染控制标准》（GB18599-2020）</w:t>
            </w:r>
            <w:r>
              <w:rPr>
                <w:rFonts w:ascii="Times New Roman" w:hAnsi="Times New Roman" w:cs="Times New Roman"/>
                <w:sz w:val="24"/>
              </w:rPr>
              <w:t xml:space="preserve">  中Ⅰ类一般工业固体废物贮存场和填埋场相关环境保护要求对本项目一般工业固体废物暂存库进行设计和运行管理：A.为避免雨水径流进入暂存间内造成渗滤液增加或物料滑坡，在暂存间周边设置雨水导流渠；B.在暂存间内地势低的地方设置1座容积为0.5m</w:t>
            </w:r>
            <w:r>
              <w:rPr>
                <w:rFonts w:ascii="Times New Roman" w:hAnsi="Times New Roman" w:cs="Times New Roman"/>
                <w:sz w:val="24"/>
                <w:vertAlign w:val="superscript"/>
              </w:rPr>
              <w:t>3</w:t>
            </w:r>
            <w:r>
              <w:rPr>
                <w:rFonts w:ascii="Times New Roman" w:hAnsi="Times New Roman" w:cs="Times New Roman"/>
                <w:sz w:val="24"/>
              </w:rPr>
              <w:t>的渗滤液收集池，渗滤液依靠自然坡度沿导流渠汇入收集池内；C.按照GB15562.2设置环境保护图形标志并定期检查维护；D.禁止生活垃圾混入；E.建立检查维护制度，定期检查维护导流渠和渗滤液收集池等设施，如发现有损坏可能或异常，及时采取措施以保证其正常运行；F.建立档案，详细记录一般工业固体废物的名称和数量等相关信息，长期保存以供随时查阅。</w:t>
            </w:r>
          </w:p>
          <w:p>
            <w:pPr>
              <w:adjustRightInd w:val="0"/>
              <w:snapToGrid w:val="0"/>
              <w:spacing w:line="480" w:lineRule="exact"/>
              <w:rPr>
                <w:rFonts w:ascii="Times New Roman" w:hAnsi="Times New Roman" w:eastAsia="宋体" w:cs="Times New Roman"/>
                <w:sz w:val="24"/>
                <w:szCs w:val="24"/>
              </w:rPr>
            </w:pPr>
            <w:r>
              <w:rPr>
                <w:rFonts w:ascii="Times New Roman" w:hAnsi="Times New Roman" w:eastAsia="宋体" w:cs="Times New Roman"/>
                <w:sz w:val="24"/>
                <w:szCs w:val="24"/>
              </w:rPr>
              <w:t>5、地下水环境、土壤环境影响评价</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（1）地下水环境影响评价</w:t>
            </w:r>
          </w:p>
          <w:p>
            <w:pPr>
              <w:adjustRightInd w:val="0"/>
              <w:snapToGrid w:val="0"/>
              <w:spacing w:line="480" w:lineRule="exact"/>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rPr>
              <w:t>通过工程分析可知，本项目正常工况下不涉及地下水环境污染源；且经现场踏勘了解，</w:t>
            </w:r>
            <w:r>
              <w:rPr>
                <w:rFonts w:ascii="Times New Roman" w:hAnsi="Times New Roman" w:eastAsia="宋体" w:cs="Times New Roman"/>
                <w:sz w:val="24"/>
                <w:szCs w:val="24"/>
                <w:lang w:val="zh-CN"/>
              </w:rPr>
              <w:t>厂区边界向外延伸</w:t>
            </w:r>
            <w:r>
              <w:rPr>
                <w:rFonts w:ascii="Times New Roman" w:hAnsi="Times New Roman" w:eastAsia="宋体" w:cs="Times New Roman"/>
                <w:sz w:val="24"/>
                <w:szCs w:val="24"/>
              </w:rPr>
              <w:t>500</w:t>
            </w:r>
            <w:r>
              <w:rPr>
                <w:rFonts w:ascii="Times New Roman" w:hAnsi="Times New Roman" w:eastAsia="宋体" w:cs="Times New Roman"/>
                <w:sz w:val="24"/>
                <w:szCs w:val="24"/>
                <w:lang w:val="zh-CN"/>
              </w:rPr>
              <w:t>m范围内无</w:t>
            </w:r>
            <w:r>
              <w:rPr>
                <w:rFonts w:ascii="Times New Roman" w:hAnsi="Times New Roman" w:eastAsia="宋体" w:cs="Times New Roman"/>
                <w:sz w:val="24"/>
                <w:szCs w:val="24"/>
              </w:rPr>
              <w:t>地下水型集中式饮用水水源和热水、矿泉水、温泉等特殊地下水资源，本次评价未开展地下水环境影响评价工作。</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根据</w:t>
            </w:r>
            <w:r>
              <w:rPr>
                <w:rFonts w:ascii="Times New Roman" w:hAnsi="Times New Roman" w:eastAsia="宋体" w:cs="Times New Roman"/>
                <w:sz w:val="24"/>
                <w:szCs w:val="24"/>
                <w:lang w:val="zh-CN"/>
              </w:rPr>
              <w:t>《环境影响评价技术导则  地下水环境》（HJ</w:t>
            </w:r>
            <w:r>
              <w:rPr>
                <w:rFonts w:ascii="Times New Roman" w:hAnsi="Times New Roman" w:eastAsia="宋体" w:cs="Times New Roman"/>
                <w:sz w:val="24"/>
                <w:szCs w:val="24"/>
              </w:rPr>
              <w:t>610-2016</w:t>
            </w:r>
            <w:r>
              <w:rPr>
                <w:rFonts w:ascii="Times New Roman" w:hAnsi="Times New Roman" w:eastAsia="宋体" w:cs="Times New Roman"/>
                <w:sz w:val="24"/>
                <w:szCs w:val="24"/>
                <w:lang w:val="zh-CN"/>
              </w:rPr>
              <w:t>）第</w:t>
            </w:r>
            <w:r>
              <w:rPr>
                <w:rFonts w:ascii="Times New Roman" w:hAnsi="Times New Roman" w:eastAsia="宋体" w:cs="Times New Roman"/>
                <w:sz w:val="24"/>
                <w:szCs w:val="24"/>
              </w:rPr>
              <w:t>11节“地下水环境保护措施与对策”第11.2小节“建设项目污染防控对策”中相关内容，本次评价依据建设项目场地天然包气带防污性能、污染控制难易程度和污染物特性进行地下水污染防渗分区并提出防渗技术要求：</w:t>
            </w:r>
            <w:r>
              <w:rPr>
                <w:rFonts w:hint="eastAsia" w:ascii="宋体" w:hAnsi="宋体" w:eastAsia="宋体" w:cs="宋体"/>
                <w:sz w:val="24"/>
                <w:szCs w:val="24"/>
              </w:rPr>
              <w:t>①</w:t>
            </w:r>
            <w:r>
              <w:rPr>
                <w:rFonts w:ascii="Times New Roman" w:hAnsi="Times New Roman" w:eastAsia="宋体" w:cs="Times New Roman"/>
                <w:sz w:val="24"/>
                <w:szCs w:val="24"/>
              </w:rPr>
              <w:t>重点防渗区（污水处理站）防渗技术要求：等效黏土防</w:t>
            </w:r>
            <w:r>
              <w:rPr>
                <w:rFonts w:ascii="Times New Roman" w:hAnsi="Times New Roman" w:eastAsia="宋体" w:cs="Times New Roman"/>
                <w:kern w:val="24"/>
                <w:sz w:val="24"/>
                <w:szCs w:val="24"/>
              </w:rPr>
              <w:t>渗层</w:t>
            </w:r>
            <w:r>
              <w:rPr>
                <w:rFonts w:ascii="Times New Roman" w:hAnsi="Times New Roman" w:eastAsia="宋体" w:cs="Times New Roman"/>
                <w:position w:val="-6"/>
                <w:sz w:val="24"/>
                <w:szCs w:val="24"/>
              </w:rPr>
              <w:object>
                <v:shape id="_x0000_i1029" o:spt="75" type="#_x0000_t75" style="height:12.9pt;width:17pt;" o:ole="t" filled="f" o:preferrelative="t" stroked="f" coordsize="21600,21600">
                  <v:path/>
                  <v:fill on="f" focussize="0,0"/>
                  <v:stroke on="f"/>
                  <v:imagedata r:id="rId23" o:title=""/>
                  <o:lock v:ext="edit" aspectratio="t"/>
                  <w10:wrap type="none"/>
                  <w10:anchorlock/>
                </v:shape>
                <o:OLEObject Type="Embed" ProgID="Equation.3" ShapeID="_x0000_i1029" DrawAspect="Content" ObjectID="_1468075730" r:id="rId22">
                  <o:LockedField>false</o:LockedField>
                </o:OLEObject>
              </w:object>
            </w:r>
            <w:r>
              <w:rPr>
                <w:rFonts w:ascii="Times New Roman" w:hAnsi="Times New Roman" w:eastAsia="宋体" w:cs="Times New Roman"/>
                <w:sz w:val="24"/>
                <w:szCs w:val="24"/>
              </w:rPr>
              <w:t>≥6.0m、</w:t>
            </w:r>
            <w:r>
              <w:rPr>
                <w:rFonts w:ascii="Times New Roman" w:hAnsi="Times New Roman" w:eastAsia="宋体" w:cs="Times New Roman"/>
                <w:position w:val="-4"/>
                <w:sz w:val="24"/>
                <w:szCs w:val="24"/>
              </w:rPr>
              <w:object>
                <v:shape id="_x0000_i1030" o:spt="75" type="#_x0000_t75" style="height:10.2pt;width:10.2pt;" o:ole="t" filled="f" o:preferrelative="t" stroked="f" coordsize="21600,21600">
                  <v:path/>
                  <v:fill on="f" focussize="0,0"/>
                  <v:stroke on="f"/>
                  <v:imagedata r:id="rId25" o:title=""/>
                  <o:lock v:ext="edit" aspectratio="t"/>
                  <w10:wrap type="none"/>
                  <w10:anchorlock/>
                </v:shape>
                <o:OLEObject Type="Embed" ProgID="Equation.3" ShapeID="_x0000_i1030" DrawAspect="Content" ObjectID="_1468075731" r:id="rId24">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②</w:t>
            </w:r>
            <w:r>
              <w:rPr>
                <w:rFonts w:ascii="Times New Roman" w:hAnsi="Times New Roman" w:eastAsia="宋体" w:cs="Times New Roman"/>
                <w:sz w:val="24"/>
                <w:szCs w:val="24"/>
              </w:rPr>
              <w:t>一般防渗区（原料储库、生产车间、成品储库和一般工业固体废物暂存库）防渗技术要求：等效黏土防</w:t>
            </w:r>
            <w:r>
              <w:rPr>
                <w:rFonts w:ascii="Times New Roman" w:hAnsi="Times New Roman" w:eastAsia="宋体" w:cs="Times New Roman"/>
                <w:kern w:val="24"/>
                <w:sz w:val="24"/>
                <w:szCs w:val="24"/>
              </w:rPr>
              <w:t>渗层</w:t>
            </w:r>
            <w:r>
              <w:rPr>
                <w:rFonts w:ascii="Times New Roman" w:hAnsi="Times New Roman" w:eastAsia="宋体" w:cs="Times New Roman"/>
                <w:position w:val="-6"/>
                <w:sz w:val="24"/>
                <w:szCs w:val="24"/>
              </w:rPr>
              <w:object>
                <v:shape id="_x0000_i1031" o:spt="75" type="#_x0000_t75" style="height:12.9pt;width:17pt;" o:ole="t" filled="f" o:preferrelative="t" stroked="f" coordsize="21600,21600">
                  <v:path/>
                  <v:fill on="f" focussize="0,0"/>
                  <v:stroke on="f"/>
                  <v:imagedata r:id="rId23" o:title=""/>
                  <o:lock v:ext="edit" aspectratio="t"/>
                  <w10:wrap type="none"/>
                  <w10:anchorlock/>
                </v:shape>
                <o:OLEObject Type="Embed" ProgID="Equation.3" ShapeID="_x0000_i1031" DrawAspect="Content" ObjectID="_1468075732" r:id="rId26">
                  <o:LockedField>false</o:LockedField>
                </o:OLEObject>
              </w:object>
            </w:r>
            <w:r>
              <w:rPr>
                <w:rFonts w:ascii="Times New Roman" w:hAnsi="Times New Roman" w:eastAsia="宋体" w:cs="Times New Roman"/>
                <w:sz w:val="24"/>
                <w:szCs w:val="24"/>
              </w:rPr>
              <w:t>≥1.5m、</w:t>
            </w:r>
            <w:r>
              <w:rPr>
                <w:rFonts w:ascii="Times New Roman" w:hAnsi="Times New Roman" w:eastAsia="宋体" w:cs="Times New Roman"/>
                <w:position w:val="-4"/>
                <w:sz w:val="24"/>
                <w:szCs w:val="24"/>
              </w:rPr>
              <w:object>
                <v:shape id="_x0000_i1032" o:spt="75" type="#_x0000_t75" style="height:10.2pt;width:10.2pt;" o:ole="t" filled="f" o:preferrelative="t" stroked="f" coordsize="21600,21600">
                  <v:path/>
                  <v:fill on="f" focussize="0,0"/>
                  <v:stroke on="f"/>
                  <v:imagedata r:id="rId25" o:title=""/>
                  <o:lock v:ext="edit" aspectratio="t"/>
                  <w10:wrap type="none"/>
                  <w10:anchorlock/>
                </v:shape>
                <o:OLEObject Type="Embed" ProgID="Equation.3" ShapeID="_x0000_i1032" DrawAspect="Content" ObjectID="_1468075733" r:id="rId27">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③</w:t>
            </w:r>
            <w:r>
              <w:rPr>
                <w:rFonts w:ascii="Times New Roman" w:hAnsi="Times New Roman" w:eastAsia="宋体" w:cs="Times New Roman"/>
                <w:sz w:val="24"/>
                <w:szCs w:val="24"/>
              </w:rPr>
              <w:t>简单防渗区（综合办公室）防渗技术要求：一般地面硬化；本次评价要求建设单位施工期严格按照《地</w:t>
            </w:r>
            <w:r>
              <w:rPr>
                <w:rFonts w:ascii="Times New Roman" w:hAnsi="Times New Roman" w:eastAsia="宋体" w:cs="Times New Roman"/>
                <w:color w:val="000000"/>
                <w:spacing w:val="6"/>
                <w:sz w:val="24"/>
                <w:szCs w:val="24"/>
              </w:rPr>
              <w:t>下水污染源防渗技术指南（试行）》（2020年2月20日实施）中相关要求进行各防渗区防渗工作。</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（2）土壤环境影响评价</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通过工程分析可知，本项目正常工况下不涉及土壤环境污染源；本项目为</w:t>
            </w:r>
            <w:r>
              <w:rPr>
                <w:rFonts w:ascii="Times New Roman" w:hAnsi="Times New Roman" w:eastAsia="宋体" w:cs="Times New Roman"/>
                <w:bCs/>
                <w:color w:val="000000"/>
                <w:sz w:val="24"/>
                <w:szCs w:val="24"/>
              </w:rPr>
              <w:t>豆制品制造</w:t>
            </w:r>
            <w:r>
              <w:rPr>
                <w:rFonts w:ascii="Times New Roman" w:hAnsi="Times New Roman" w:eastAsia="宋体" w:cs="Times New Roman"/>
                <w:color w:val="000000"/>
                <w:sz w:val="24"/>
                <w:szCs w:val="24"/>
              </w:rPr>
              <w:t>项目，根据《环境影响评价技术导则 土壤环境》（HJ964-2018）规定，本项目参照类别为“其他行业”，为“IV类”项目，属于污染影响型项目，不需开展土壤环境影响分析。本次评价未开展地下水环境影响评价工作。</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6、生态环境影响评价</w:t>
            </w:r>
          </w:p>
          <w:p>
            <w:pPr>
              <w:adjustRightInd w:val="0"/>
              <w:snapToGrid w:val="0"/>
              <w:spacing w:line="48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本项目位于</w:t>
            </w:r>
            <w:r>
              <w:rPr>
                <w:rFonts w:ascii="Times New Roman" w:hAnsi="Times New Roman" w:eastAsia="宋体" w:cs="Times New Roman"/>
                <w:bCs/>
                <w:sz w:val="24"/>
                <w:szCs w:val="24"/>
              </w:rPr>
              <w:t>柳林县</w:t>
            </w:r>
            <w:r>
              <w:rPr>
                <w:rFonts w:hint="eastAsia" w:ascii="Times New Roman" w:hAnsi="Times New Roman" w:eastAsia="宋体" w:cs="Times New Roman"/>
                <w:bCs/>
                <w:sz w:val="24"/>
                <w:szCs w:val="24"/>
              </w:rPr>
              <w:t>穆村</w:t>
            </w:r>
            <w:r>
              <w:rPr>
                <w:rFonts w:ascii="Times New Roman" w:hAnsi="Times New Roman" w:eastAsia="宋体" w:cs="Times New Roman"/>
                <w:bCs/>
                <w:sz w:val="24"/>
                <w:szCs w:val="24"/>
              </w:rPr>
              <w:t>镇</w:t>
            </w:r>
            <w:r>
              <w:rPr>
                <w:rFonts w:hint="eastAsia" w:ascii="Times New Roman" w:hAnsi="Times New Roman" w:eastAsia="宋体" w:cs="Times New Roman"/>
                <w:bCs/>
                <w:sz w:val="24"/>
                <w:szCs w:val="24"/>
              </w:rPr>
              <w:t>安沟村东</w:t>
            </w:r>
            <w:r>
              <w:rPr>
                <w:rFonts w:ascii="Times New Roman" w:hAnsi="Times New Roman" w:eastAsia="宋体" w:cs="Times New Roman"/>
                <w:bCs/>
                <w:sz w:val="24"/>
                <w:szCs w:val="24"/>
              </w:rPr>
              <w:t>南</w:t>
            </w:r>
            <w:r>
              <w:rPr>
                <w:rFonts w:hint="eastAsia" w:ascii="Times New Roman" w:hAnsi="Times New Roman" w:eastAsia="宋体" w:cs="Times New Roman"/>
                <w:bCs/>
                <w:sz w:val="24"/>
                <w:szCs w:val="24"/>
              </w:rPr>
              <w:t>4</w:t>
            </w:r>
            <w:r>
              <w:rPr>
                <w:rFonts w:ascii="Times New Roman" w:hAnsi="Times New Roman" w:eastAsia="宋体" w:cs="Times New Roman"/>
                <w:bCs/>
                <w:sz w:val="24"/>
                <w:szCs w:val="24"/>
              </w:rPr>
              <w:t>00m处</w:t>
            </w:r>
            <w:r>
              <w:rPr>
                <w:rFonts w:ascii="Times New Roman" w:hAnsi="Times New Roman" w:eastAsia="宋体" w:cs="Times New Roman"/>
                <w:sz w:val="24"/>
                <w:szCs w:val="24"/>
              </w:rPr>
              <w:t>，</w:t>
            </w:r>
            <w:r>
              <w:rPr>
                <w:rFonts w:hint="eastAsia" w:ascii="Times New Roman" w:hAnsi="Times New Roman" w:eastAsia="宋体" w:cs="Times New Roman"/>
                <w:bCs/>
                <w:sz w:val="24"/>
                <w:szCs w:val="24"/>
              </w:rPr>
              <w:t>厂址及其周围区域属于典型的北方气候，干旱少雨，植被稀少，</w:t>
            </w:r>
            <w:r>
              <w:rPr>
                <w:rFonts w:ascii="Times New Roman" w:hAnsi="Times New Roman" w:eastAsia="宋体" w:cs="Times New Roman"/>
                <w:sz w:val="24"/>
                <w:szCs w:val="24"/>
              </w:rPr>
              <w:t>建设项目周围无水源地、文物保护对象和名胜风景区，生态环境质量一般</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本次评价未开展</w:t>
            </w:r>
            <w:r>
              <w:rPr>
                <w:rFonts w:ascii="Times New Roman" w:hAnsi="Times New Roman" w:eastAsia="宋体" w:cs="Times New Roman"/>
                <w:color w:val="000000"/>
                <w:sz w:val="24"/>
                <w:szCs w:val="24"/>
              </w:rPr>
              <w:t>生态环境影响评价</w:t>
            </w:r>
            <w:r>
              <w:rPr>
                <w:rFonts w:ascii="Times New Roman" w:hAnsi="Times New Roman" w:eastAsia="宋体" w:cs="Times New Roman"/>
                <w:sz w:val="24"/>
                <w:szCs w:val="24"/>
              </w:rPr>
              <w:t>工作。</w:t>
            </w:r>
          </w:p>
          <w:p>
            <w:pPr>
              <w:adjustRightInd w:val="0"/>
              <w:snapToGrid w:val="0"/>
              <w:spacing w:line="480" w:lineRule="exac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7、电磁辐射影响分析</w:t>
            </w:r>
          </w:p>
          <w:p>
            <w:pPr>
              <w:adjustRightInd w:val="0"/>
              <w:snapToGrid w:val="0"/>
              <w:spacing w:line="48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本项目不属于电磁辐射类项目，本次评价未开展电磁辐射影响分析工作。</w:t>
            </w: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p>
            <w:pPr>
              <w:adjustRightInd w:val="0"/>
              <w:snapToGrid w:val="0"/>
              <w:spacing w:line="480" w:lineRule="exact"/>
              <w:rPr>
                <w:rFonts w:ascii="Times New Roman" w:hAnsi="Times New Roman" w:eastAsia="宋体" w:cs="Times New Roman"/>
                <w:kern w:val="0"/>
                <w:sz w:val="24"/>
                <w:szCs w:val="24"/>
              </w:rPr>
            </w:pPr>
          </w:p>
        </w:tc>
      </w:tr>
    </w:tbl>
    <w:p>
      <w:pPr>
        <w:rPr>
          <w:rFonts w:ascii="Times New Roman" w:hAnsi="Times New Roman" w:eastAsia="宋体"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keepNext/>
        <w:overflowPunct w:val="0"/>
        <w:snapToGrid w:val="0"/>
        <w:spacing w:before="156" w:beforeLines="50" w:after="156" w:afterLines="50"/>
        <w:jc w:val="center"/>
        <w:outlineLvl w:val="0"/>
        <w:rPr>
          <w:rFonts w:ascii="Times New Roman" w:hAnsi="Times New Roman" w:eastAsia="黑体" w:cs="Times New Roman"/>
          <w:color w:val="FF0000"/>
          <w:kern w:val="44"/>
          <w:sz w:val="30"/>
          <w:szCs w:val="30"/>
        </w:rPr>
      </w:pPr>
      <w:r>
        <w:rPr>
          <w:rFonts w:ascii="Times New Roman" w:hAnsi="Times New Roman" w:eastAsia="黑体" w:cs="Times New Roman"/>
          <w:color w:val="000000"/>
          <w:kern w:val="44"/>
          <w:sz w:val="30"/>
          <w:szCs w:val="30"/>
        </w:rPr>
        <w:t>五、</w:t>
      </w:r>
      <w:bookmarkStart w:id="1" w:name="_Hlk54167917"/>
      <w:r>
        <w:rPr>
          <w:rFonts w:ascii="Times New Roman" w:hAnsi="Times New Roman" w:eastAsia="黑体" w:cs="Times New Roman"/>
          <w:color w:val="000000"/>
          <w:kern w:val="44"/>
          <w:sz w:val="30"/>
          <w:szCs w:val="30"/>
        </w:rPr>
        <w:t>环境保护措施监督检查清单</w:t>
      </w:r>
      <w:bookmarkEnd w:id="1"/>
    </w:p>
    <w:tbl>
      <w:tblPr>
        <w:tblStyle w:val="21"/>
        <w:tblW w:w="1505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367"/>
        <w:gridCol w:w="964"/>
        <w:gridCol w:w="1638"/>
        <w:gridCol w:w="8080"/>
        <w:gridCol w:w="2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988" w:type="dxa"/>
            <w:tcBorders>
              <w:tl2br w:val="nil"/>
              <w:tr2bl w:val="nil"/>
            </w:tcBorders>
          </w:tcPr>
          <w:p>
            <w:pPr>
              <w:adjustRightInd w:val="0"/>
              <w:jc w:val="right"/>
              <w:rPr>
                <w:rFonts w:ascii="Times New Roman" w:hAnsi="Times New Roman" w:eastAsia="宋体" w:cs="Times New Roman"/>
                <w:sz w:val="24"/>
                <w:szCs w:val="24"/>
                <w:lang w:val="zh-CN"/>
              </w:rPr>
            </w:pPr>
            <w:r>
              <w:rPr>
                <w:rFonts w:ascii="Times New Roman" w:hAnsi="Times New Roman" w:cs="Times New Roman"/>
                <w:sz w:val="24"/>
                <w:szCs w:val="24"/>
              </w:rPr>
              <mc:AlternateContent>
                <mc:Choice Requires="wps">
                  <w:drawing>
                    <wp:anchor distT="0" distB="0" distL="114300" distR="114300" simplePos="0" relativeHeight="251679744" behindDoc="0" locked="0" layoutInCell="1" allowOverlap="1">
                      <wp:simplePos x="0" y="0"/>
                      <wp:positionH relativeFrom="column">
                        <wp:posOffset>-68580</wp:posOffset>
                      </wp:positionH>
                      <wp:positionV relativeFrom="paragraph">
                        <wp:posOffset>-2540</wp:posOffset>
                      </wp:positionV>
                      <wp:extent cx="767080" cy="395605"/>
                      <wp:effectExtent l="0" t="0" r="33020" b="23495"/>
                      <wp:wrapNone/>
                      <wp:docPr id="5" name="直接连接符 5"/>
                      <wp:cNvGraphicFramePr/>
                      <a:graphic xmlns:a="http://schemas.openxmlformats.org/drawingml/2006/main">
                        <a:graphicData uri="http://schemas.microsoft.com/office/word/2010/wordprocessingShape">
                          <wps:wsp>
                            <wps:cNvCnPr/>
                            <wps:spPr>
                              <a:xfrm>
                                <a:off x="0" y="0"/>
                                <a:ext cx="767080" cy="395605"/>
                              </a:xfrm>
                              <a:prstGeom prst="line">
                                <a:avLst/>
                              </a:prstGeom>
                              <a:noFill/>
                              <a:ln w="6350" cap="flat" cmpd="sng" algn="ctr">
                                <a:solidFill>
                                  <a:srgbClr val="000000"/>
                                </a:solidFill>
                                <a:prstDash val="solid"/>
                              </a:ln>
                              <a:effectLst/>
                            </wps:spPr>
                            <wps:bodyPr/>
                          </wps:wsp>
                        </a:graphicData>
                      </a:graphic>
                    </wp:anchor>
                  </w:drawing>
                </mc:Choice>
                <mc:Fallback>
                  <w:pict>
                    <v:line id="_x0000_s1026" o:spid="_x0000_s1026" o:spt="20" style="position:absolute;left:0pt;margin-left:-5.4pt;margin-top:-0.2pt;height:31.15pt;width:60.4pt;z-index:251679744;mso-width-relative:page;mso-height-relative:page;" filled="f" stroked="t" coordsize="21600,21600" o:gfxdata="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3t1qQdQAAAAIAQAADwAAAAAAAAABACAAAAAiAAAAZHJzL2Rvd25yZXYu&#10;eG1sUEsBAhQAFAAAAAgAh07iQM9N/UPGAQAAXgMAAA4AAAAAAAAAAQAgAAAAIwEAAGRycy9lMm9E&#10;b2MueG1sUEsFBgAAAAAGAAYAWQEAAFsFAAAAAA==&#10;">
                      <v:fill on="f" focussize="0,0"/>
                      <v:stroke weight="0.5pt" color="#000000" joinstyle="round"/>
                      <v:imagedata o:title=""/>
                      <o:lock v:ext="edit" aspectratio="f"/>
                    </v:line>
                  </w:pict>
                </mc:Fallback>
              </mc:AlternateContent>
            </w:r>
            <w:r>
              <w:rPr>
                <w:rFonts w:ascii="Times New Roman" w:hAnsi="Times New Roman" w:eastAsia="宋体" w:cs="Times New Roman"/>
                <w:sz w:val="24"/>
                <w:szCs w:val="24"/>
                <w:lang w:val="zh-CN"/>
              </w:rPr>
              <w:t>内容</w:t>
            </w:r>
          </w:p>
          <w:p>
            <w:pPr>
              <w:adjustRightInd w:val="0"/>
              <w:jc w:val="left"/>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要素</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污染源</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排放口编号</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污染物项目</w:t>
            </w:r>
          </w:p>
        </w:tc>
        <w:tc>
          <w:tcPr>
            <w:tcW w:w="8080"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环境保护措施</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大气环境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污水处理站</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color w:val="000000"/>
                <w:sz w:val="24"/>
                <w:szCs w:val="24"/>
              </w:rPr>
              <w:t>NH</w:t>
            </w:r>
            <w:r>
              <w:rPr>
                <w:rFonts w:ascii="Times New Roman" w:hAnsi="Times New Roman" w:cs="Times New Roman"/>
                <w:color w:val="000000"/>
                <w:sz w:val="24"/>
                <w:szCs w:val="24"/>
                <w:vertAlign w:val="subscript"/>
              </w:rPr>
              <w:t>3</w:t>
            </w:r>
            <w:r>
              <w:rPr>
                <w:rFonts w:ascii="Times New Roman" w:hAnsi="Times New Roman" w:cs="Times New Roman"/>
                <w:bCs/>
                <w:color w:val="000000"/>
                <w:sz w:val="24"/>
                <w:szCs w:val="24"/>
              </w:rPr>
              <w:t>、H</w:t>
            </w:r>
            <w:r>
              <w:rPr>
                <w:rFonts w:ascii="Times New Roman" w:hAnsi="Times New Roman" w:cs="Times New Roman"/>
                <w:bCs/>
                <w:color w:val="000000"/>
                <w:sz w:val="24"/>
                <w:szCs w:val="24"/>
                <w:vertAlign w:val="subscript"/>
              </w:rPr>
              <w:t>2</w:t>
            </w:r>
            <w:r>
              <w:rPr>
                <w:rFonts w:ascii="Times New Roman" w:hAnsi="Times New Roman" w:cs="Times New Roman"/>
                <w:bCs/>
                <w:color w:val="000000"/>
                <w:sz w:val="24"/>
                <w:szCs w:val="24"/>
              </w:rPr>
              <w:t>S</w:t>
            </w:r>
          </w:p>
        </w:tc>
        <w:tc>
          <w:tcPr>
            <w:tcW w:w="8080" w:type="dxa"/>
            <w:tcBorders>
              <w:tl2br w:val="nil"/>
              <w:tr2bl w:val="nil"/>
            </w:tcBorders>
            <w:vAlign w:val="center"/>
          </w:tcPr>
          <w:p>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highlight w:val="none"/>
              </w:rPr>
              <w:t>将沉淀池、污泥池等产生硫化氢、氨等进行加盖密闭处理</w:t>
            </w:r>
            <w:r>
              <w:rPr>
                <w:rFonts w:ascii="Times New Roman" w:hAnsi="Times New Roman" w:cs="Times New Roman"/>
                <w:sz w:val="24"/>
                <w:szCs w:val="24"/>
              </w:rPr>
              <w:t>，并定期喷洒除臭剂；</w:t>
            </w:r>
          </w:p>
          <w:p>
            <w:pPr>
              <w:autoSpaceDE w:val="0"/>
              <w:autoSpaceDN w:val="0"/>
              <w:adjustRightInd w:val="0"/>
              <w:rPr>
                <w:rFonts w:ascii="Times New Roman" w:hAnsi="Times New Roman" w:eastAsia="宋体" w:cs="Times New Roman"/>
                <w:sz w:val="24"/>
                <w:szCs w:val="24"/>
              </w:rPr>
            </w:pPr>
            <w:r>
              <w:rPr>
                <w:rFonts w:ascii="Times New Roman" w:hAnsi="Times New Roman" w:cs="Times New Roman"/>
                <w:sz w:val="24"/>
                <w:szCs w:val="24"/>
              </w:rPr>
              <w:t>2、厂区加强绿化，通过乔灌结合的立体绿化吸附部分恶臭，清新空气</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t>《恶臭大气污染物排放标准》（GB14544-93）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vMerge w:val="restart"/>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地表水</w:t>
            </w:r>
          </w:p>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生产加工</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sz w:val="24"/>
                <w:szCs w:val="24"/>
              </w:rPr>
              <w:t>、BOD</w:t>
            </w:r>
            <w:r>
              <w:rPr>
                <w:rFonts w:ascii="Times New Roman" w:hAnsi="Times New Roman" w:cs="Times New Roman"/>
                <w:sz w:val="24"/>
                <w:szCs w:val="24"/>
                <w:vertAlign w:val="subscript"/>
              </w:rPr>
              <w:t>5</w:t>
            </w:r>
            <w:r>
              <w:rPr>
                <w:rFonts w:ascii="Times New Roman" w:hAnsi="Times New Roman" w:cs="Times New Roman"/>
                <w:sz w:val="24"/>
                <w:szCs w:val="24"/>
              </w:rPr>
              <w:t>、</w:t>
            </w:r>
            <w:r>
              <w:rPr>
                <w:rFonts w:ascii="Times New Roman" w:hAnsi="Times New Roman" w:eastAsia="宋体" w:cs="Times New Roman"/>
                <w:sz w:val="24"/>
                <w:szCs w:val="24"/>
              </w:rPr>
              <w:t>氨氮</w:t>
            </w:r>
            <w:r>
              <w:rPr>
                <w:rFonts w:ascii="Times New Roman" w:hAnsi="Times New Roman" w:cs="Times New Roman"/>
                <w:sz w:val="24"/>
                <w:szCs w:val="24"/>
              </w:rPr>
              <w:t>SS</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rPr>
            </w:pPr>
            <w:r>
              <w:rPr>
                <w:rFonts w:ascii="Times New Roman" w:hAnsi="Times New Roman" w:cs="Times New Roman"/>
                <w:color w:val="000000"/>
                <w:sz w:val="24"/>
                <w:szCs w:val="24"/>
              </w:rPr>
              <w:t>生活污水（其中食堂废水经隔油器处理）及生产废水经车间内废水管道进入厂区废水处理站预处理，处理后排入市政污水管网，最终至柳林县污水处理厂</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《污水排入城镇下水道水质标准》（GB/T 31962-2015）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职工办公生活</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sz w:val="24"/>
                <w:szCs w:val="24"/>
              </w:rPr>
              <w:t>、BOD</w:t>
            </w:r>
            <w:r>
              <w:rPr>
                <w:rFonts w:ascii="Times New Roman" w:hAnsi="Times New Roman" w:cs="Times New Roman"/>
                <w:sz w:val="24"/>
                <w:szCs w:val="24"/>
                <w:vertAlign w:val="subscript"/>
              </w:rPr>
              <w:t>5</w:t>
            </w:r>
            <w:r>
              <w:rPr>
                <w:rFonts w:ascii="Times New Roman" w:hAnsi="Times New Roman" w:cs="Times New Roman"/>
                <w:sz w:val="24"/>
                <w:szCs w:val="24"/>
              </w:rPr>
              <w:t>、</w:t>
            </w:r>
            <w:r>
              <w:rPr>
                <w:rFonts w:ascii="Times New Roman" w:hAnsi="Times New Roman" w:eastAsia="宋体" w:cs="Times New Roman"/>
                <w:sz w:val="24"/>
                <w:szCs w:val="24"/>
              </w:rPr>
              <w:t>氨氮</w:t>
            </w:r>
            <w:r>
              <w:rPr>
                <w:rFonts w:ascii="Times New Roman" w:hAnsi="Times New Roman" w:cs="Times New Roman"/>
                <w:sz w:val="24"/>
                <w:szCs w:val="24"/>
              </w:rPr>
              <w:t>SS</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声环境</w:t>
            </w:r>
          </w:p>
        </w:tc>
        <w:tc>
          <w:tcPr>
            <w:tcW w:w="1367"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产噪设备</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噪声</w:t>
            </w:r>
          </w:p>
        </w:tc>
        <w:tc>
          <w:tcPr>
            <w:tcW w:w="8080" w:type="dxa"/>
            <w:tcBorders>
              <w:tl2br w:val="nil"/>
              <w:tr2bl w:val="nil"/>
            </w:tcBorders>
            <w:vAlign w:val="center"/>
          </w:tcPr>
          <w:p>
            <w:pPr>
              <w:adjustRightInd w:val="0"/>
              <w:snapToGrid w:val="0"/>
              <w:rPr>
                <w:rFonts w:ascii="Times New Roman" w:hAnsi="Times New Roman" w:cs="Times New Roman"/>
                <w:sz w:val="24"/>
                <w:szCs w:val="24"/>
              </w:rPr>
            </w:pPr>
            <w:r>
              <w:rPr>
                <w:rFonts w:ascii="Times New Roman" w:hAnsi="Times New Roman" w:cs="Times New Roman"/>
                <w:sz w:val="24"/>
                <w:szCs w:val="24"/>
              </w:rPr>
              <w:t>设备选择：在满足生产工艺的前提下，优先选择低噪声设备或具有消音隔声装置的设备，从源头降低噪声；设备布局：综合考虑地形、声源方向性和噪声强弱等因素，充分利用厂内建筑物的隔声作用合理布置设备；设备安装：采取减震措施；设备维护：定期维护设备，确保设备处于良好的运行状态，杜绝因设备不正常运转产生高噪声的现象</w:t>
            </w:r>
          </w:p>
        </w:tc>
        <w:tc>
          <w:tcPr>
            <w:tcW w:w="2021"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lang w:val="zh-CN"/>
              </w:rPr>
              <w:t>《工业企业厂界环境噪声排放标准》（GB12348-2008）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电磁辐射</w:t>
            </w:r>
          </w:p>
        </w:tc>
        <w:tc>
          <w:tcPr>
            <w:tcW w:w="14070" w:type="dxa"/>
            <w:gridSpan w:val="5"/>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color w:val="000000"/>
                <w:sz w:val="24"/>
                <w:szCs w:val="24"/>
              </w:rPr>
              <w:t>本项目不属于电磁辐射类项目，本次评价未开展电磁辐射影响分析工作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988" w:type="dxa"/>
            <w:vMerge w:val="restart"/>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固体废物</w:t>
            </w: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生产过程</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豆渣</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lang w:val="zh-CN"/>
              </w:rPr>
              <w:t>暂存于厂区内</w:t>
            </w:r>
            <w:r>
              <w:rPr>
                <w:rFonts w:ascii="Times New Roman" w:hAnsi="Times New Roman" w:cs="Times New Roman"/>
                <w:sz w:val="24"/>
                <w:szCs w:val="24"/>
              </w:rPr>
              <w:t>一般工业固体废物暂存库，定期</w:t>
            </w:r>
            <w:r>
              <w:rPr>
                <w:rFonts w:hint="eastAsia" w:ascii="Times New Roman" w:hAnsi="Times New Roman" w:cs="Times New Roman"/>
                <w:sz w:val="24"/>
                <w:szCs w:val="24"/>
              </w:rPr>
              <w:t>外售</w:t>
            </w:r>
            <w:r>
              <w:rPr>
                <w:rFonts w:ascii="Times New Roman" w:hAnsi="Times New Roman" w:cs="Times New Roman"/>
                <w:sz w:val="24"/>
                <w:szCs w:val="24"/>
              </w:rPr>
              <w:t>至</w:t>
            </w:r>
            <w:r>
              <w:rPr>
                <w:rFonts w:hint="eastAsia" w:ascii="Times New Roman" w:hAnsi="Times New Roman" w:cs="Times New Roman"/>
                <w:sz w:val="24"/>
                <w:szCs w:val="24"/>
              </w:rPr>
              <w:t>内黄县二安镇红勤饲料原料购销门市部，综合利用</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lang w:val="zh-CN"/>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2"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rPr>
            </w:pPr>
            <w:r>
              <w:rPr>
                <w:rFonts w:ascii="Times New Roman" w:hAnsi="Times New Roman" w:eastAsia="宋体" w:cs="Times New Roman"/>
                <w:sz w:val="24"/>
                <w:szCs w:val="24"/>
              </w:rPr>
              <w:t>质检</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eastAsia="宋体" w:cs="Times New Roman"/>
                <w:sz w:val="24"/>
                <w:szCs w:val="24"/>
              </w:rPr>
              <w:t>不合格品</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lang w:val="zh-CN"/>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color w:val="000000"/>
                <w:sz w:val="24"/>
                <w:szCs w:val="24"/>
                <w:lang w:val="zh-CN"/>
              </w:rPr>
            </w:pPr>
            <w:r>
              <w:rPr>
                <w:rFonts w:ascii="Times New Roman" w:hAnsi="Times New Roman" w:eastAsia="宋体" w:cs="Times New Roman"/>
                <w:color w:val="000000"/>
                <w:sz w:val="24"/>
                <w:szCs w:val="24"/>
                <w:lang w:val="zh-CN"/>
              </w:rPr>
              <w:t>污水处理</w:t>
            </w:r>
          </w:p>
        </w:tc>
        <w:tc>
          <w:tcPr>
            <w:tcW w:w="964"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color w:val="000000"/>
                <w:sz w:val="24"/>
                <w:szCs w:val="24"/>
                <w:lang w:val="zh-CN"/>
              </w:rPr>
            </w:pPr>
            <w:r>
              <w:rPr>
                <w:rFonts w:ascii="Times New Roman" w:hAnsi="Times New Roman" w:cs="Times New Roman"/>
                <w:color w:val="000000"/>
                <w:sz w:val="24"/>
                <w:szCs w:val="24"/>
                <w:lang w:val="zh-CN"/>
              </w:rPr>
              <w:t>污泥</w:t>
            </w:r>
          </w:p>
        </w:tc>
        <w:tc>
          <w:tcPr>
            <w:tcW w:w="8080" w:type="dxa"/>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lang w:val="zh-CN"/>
              </w:rPr>
              <w:t>暂存于厂区内</w:t>
            </w:r>
            <w:r>
              <w:rPr>
                <w:rFonts w:ascii="Times New Roman" w:hAnsi="Times New Roman" w:cs="Times New Roman"/>
                <w:sz w:val="24"/>
                <w:szCs w:val="24"/>
              </w:rPr>
              <w:t>一般工业固体废物暂存库，集中收集后作为肥料，外售</w:t>
            </w: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原料包装</w:t>
            </w:r>
          </w:p>
        </w:tc>
        <w:tc>
          <w:tcPr>
            <w:tcW w:w="964" w:type="dxa"/>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废包装袋</w:t>
            </w:r>
          </w:p>
        </w:tc>
        <w:tc>
          <w:tcPr>
            <w:tcW w:w="8080" w:type="dxa"/>
            <w:tcBorders>
              <w:tl2br w:val="nil"/>
              <w:tr2bl w:val="nil"/>
            </w:tcBorders>
            <w:vAlign w:val="center"/>
          </w:tcPr>
          <w:p>
            <w:pPr>
              <w:adjustRightInd w:val="0"/>
              <w:rPr>
                <w:rFonts w:ascii="Times New Roman" w:hAnsi="Times New Roman" w:eastAsia="宋体" w:cs="Times New Roman"/>
                <w:sz w:val="24"/>
                <w:szCs w:val="24"/>
                <w:lang w:val="zh-CN"/>
              </w:rPr>
            </w:pPr>
            <w:r>
              <w:rPr>
                <w:rFonts w:ascii="Times New Roman" w:hAnsi="Times New Roman" w:cs="Times New Roman"/>
                <w:sz w:val="24"/>
                <w:szCs w:val="24"/>
              </w:rPr>
              <w:t>由供应厂家回收</w:t>
            </w: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清洗浸泡</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滤渣</w:t>
            </w:r>
          </w:p>
        </w:tc>
        <w:tc>
          <w:tcPr>
            <w:tcW w:w="8080" w:type="dxa"/>
            <w:vMerge w:val="restart"/>
            <w:tcBorders>
              <w:tl2br w:val="nil"/>
              <w:tr2bl w:val="nil"/>
            </w:tcBorders>
            <w:vAlign w:val="center"/>
          </w:tcPr>
          <w:p>
            <w:pPr>
              <w:adjustRightInd w:val="0"/>
              <w:rPr>
                <w:rFonts w:ascii="Times New Roman" w:hAnsi="Times New Roman" w:eastAsia="宋体" w:cs="Times New Roman"/>
                <w:sz w:val="24"/>
                <w:szCs w:val="24"/>
              </w:rPr>
            </w:pPr>
            <w:r>
              <w:rPr>
                <w:rFonts w:ascii="Times New Roman" w:hAnsi="Times New Roman" w:cs="Times New Roman"/>
                <w:sz w:val="24"/>
                <w:szCs w:val="24"/>
                <w:lang w:val="zh-CN"/>
              </w:rPr>
              <w:t>由汽车定期运往</w:t>
            </w:r>
            <w:r>
              <w:rPr>
                <w:rFonts w:hint="eastAsia" w:ascii="Times New Roman" w:hAnsi="Times New Roman" w:cs="Times New Roman"/>
                <w:sz w:val="24"/>
                <w:szCs w:val="24"/>
              </w:rPr>
              <w:t>安沟</w:t>
            </w:r>
            <w:r>
              <w:rPr>
                <w:rFonts w:ascii="Times New Roman" w:hAnsi="Times New Roman" w:cs="Times New Roman"/>
                <w:sz w:val="24"/>
                <w:szCs w:val="24"/>
              </w:rPr>
              <w:t>村</w:t>
            </w:r>
            <w:r>
              <w:rPr>
                <w:rFonts w:ascii="Times New Roman" w:hAnsi="Times New Roman" w:cs="Times New Roman"/>
                <w:sz w:val="24"/>
                <w:szCs w:val="24"/>
                <w:lang w:val="zh-CN"/>
              </w:rPr>
              <w:t>生活垃圾收集点，由</w:t>
            </w:r>
            <w:r>
              <w:rPr>
                <w:rFonts w:hint="eastAsia" w:ascii="Times New Roman" w:hAnsi="Times New Roman" w:cs="Times New Roman"/>
                <w:sz w:val="24"/>
                <w:szCs w:val="24"/>
              </w:rPr>
              <w:t>安沟</w:t>
            </w:r>
            <w:r>
              <w:rPr>
                <w:rFonts w:ascii="Times New Roman" w:hAnsi="Times New Roman" w:cs="Times New Roman"/>
                <w:sz w:val="24"/>
                <w:szCs w:val="24"/>
              </w:rPr>
              <w:t>村</w:t>
            </w:r>
            <w:r>
              <w:rPr>
                <w:rFonts w:ascii="Times New Roman" w:hAnsi="Times New Roman" w:cs="Times New Roman"/>
                <w:sz w:val="24"/>
                <w:szCs w:val="24"/>
                <w:lang w:val="zh-CN"/>
              </w:rPr>
              <w:t>村委定期统一清运处理</w:t>
            </w:r>
          </w:p>
        </w:tc>
        <w:tc>
          <w:tcPr>
            <w:tcW w:w="2021" w:type="dxa"/>
            <w:vMerge w:val="restart"/>
            <w:tcBorders>
              <w:tl2br w:val="nil"/>
              <w:tr2bl w:val="nil"/>
            </w:tcBorders>
            <w:vAlign w:val="center"/>
          </w:tcPr>
          <w:p>
            <w:pPr>
              <w:adjustRightInd w:val="0"/>
              <w:snapToGrid w:val="0"/>
              <w:jc w:val="center"/>
              <w:rPr>
                <w:rFonts w:ascii="Times New Roman" w:hAnsi="Times New Roman" w:eastAsia="宋体" w:cs="Times New Roman"/>
                <w:sz w:val="24"/>
                <w:szCs w:val="24"/>
              </w:rPr>
            </w:pPr>
            <w:r>
              <w:rPr>
                <w:rFonts w:ascii="Times New Roman" w:hAnsi="Times New Roman" w:cs="Times New Roman"/>
                <w:sz w:val="24"/>
                <w:szCs w:val="24"/>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5" w:hRule="atLeast"/>
          <w:jc w:val="center"/>
        </w:trPr>
        <w:tc>
          <w:tcPr>
            <w:tcW w:w="988" w:type="dxa"/>
            <w:vMerge w:val="continue"/>
            <w:tcBorders>
              <w:tl2br w:val="nil"/>
              <w:tr2bl w:val="nil"/>
            </w:tcBorders>
            <w:vAlign w:val="center"/>
          </w:tcPr>
          <w:p>
            <w:pPr>
              <w:adjustRightInd w:val="0"/>
              <w:snapToGrid w:val="0"/>
              <w:jc w:val="center"/>
              <w:rPr>
                <w:rFonts w:ascii="Times New Roman" w:hAnsi="Times New Roman" w:cs="Times New Roman"/>
                <w:sz w:val="24"/>
                <w:szCs w:val="24"/>
                <w:lang w:val="zh-CN"/>
              </w:rPr>
            </w:pPr>
          </w:p>
        </w:tc>
        <w:tc>
          <w:tcPr>
            <w:tcW w:w="1367" w:type="dxa"/>
            <w:tcBorders>
              <w:tl2br w:val="nil"/>
              <w:tr2bl w:val="nil"/>
            </w:tcBorders>
            <w:vAlign w:val="center"/>
          </w:tcPr>
          <w:p>
            <w:pPr>
              <w:autoSpaceDE w:val="0"/>
              <w:autoSpaceDN w:val="0"/>
              <w:adjustRightInd w:val="0"/>
              <w:jc w:val="center"/>
              <w:rPr>
                <w:rFonts w:ascii="Times New Roman" w:hAnsi="Times New Roman" w:cs="Times New Roman"/>
                <w:sz w:val="24"/>
                <w:szCs w:val="24"/>
                <w:lang w:val="zh-CN"/>
              </w:rPr>
            </w:pPr>
            <w:r>
              <w:rPr>
                <w:rFonts w:ascii="Times New Roman" w:hAnsi="Times New Roman" w:cs="Times New Roman"/>
                <w:sz w:val="24"/>
                <w:szCs w:val="24"/>
              </w:rPr>
              <w:t>职工办公生活</w:t>
            </w:r>
          </w:p>
        </w:tc>
        <w:tc>
          <w:tcPr>
            <w:tcW w:w="964"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rPr>
              <w:t>/</w:t>
            </w:r>
          </w:p>
        </w:tc>
        <w:tc>
          <w:tcPr>
            <w:tcW w:w="1638" w:type="dxa"/>
            <w:tcBorders>
              <w:tl2br w:val="nil"/>
              <w:tr2bl w:val="nil"/>
            </w:tcBorders>
            <w:vAlign w:val="center"/>
          </w:tcPr>
          <w:p>
            <w:pPr>
              <w:adjustRightInd w:val="0"/>
              <w:jc w:val="center"/>
              <w:rPr>
                <w:rFonts w:ascii="Times New Roman" w:hAnsi="Times New Roman" w:cs="Times New Roman"/>
                <w:sz w:val="24"/>
                <w:szCs w:val="24"/>
                <w:lang w:val="zh-CN"/>
              </w:rPr>
            </w:pPr>
            <w:r>
              <w:rPr>
                <w:rFonts w:ascii="Times New Roman" w:hAnsi="Times New Roman" w:cs="Times New Roman"/>
                <w:sz w:val="24"/>
                <w:szCs w:val="24"/>
                <w:lang w:val="zh-CN"/>
              </w:rPr>
              <w:t>生活垃圾</w:t>
            </w:r>
          </w:p>
        </w:tc>
        <w:tc>
          <w:tcPr>
            <w:tcW w:w="8080" w:type="dxa"/>
            <w:vMerge w:val="continue"/>
            <w:tcBorders>
              <w:tl2br w:val="nil"/>
              <w:tr2bl w:val="nil"/>
            </w:tcBorders>
            <w:vAlign w:val="center"/>
          </w:tcPr>
          <w:p>
            <w:pPr>
              <w:adjustRightInd w:val="0"/>
              <w:rPr>
                <w:rFonts w:ascii="Times New Roman" w:hAnsi="Times New Roman" w:eastAsia="宋体" w:cs="Times New Roman"/>
                <w:sz w:val="24"/>
                <w:szCs w:val="24"/>
              </w:rPr>
            </w:pPr>
          </w:p>
        </w:tc>
        <w:tc>
          <w:tcPr>
            <w:tcW w:w="2021" w:type="dxa"/>
            <w:vMerge w:val="continue"/>
            <w:tcBorders>
              <w:tl2br w:val="nil"/>
              <w:tr2bl w:val="nil"/>
            </w:tcBorders>
            <w:vAlign w:val="center"/>
          </w:tcPr>
          <w:p>
            <w:pPr>
              <w:adjustRightInd w:val="0"/>
              <w:snapToGrid w:val="0"/>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68"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lang w:val="zh-CN"/>
              </w:rPr>
              <w:t>土壤及地下水污染防治措施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cs="Times New Roman"/>
                <w:sz w:val="24"/>
                <w:szCs w:val="24"/>
              </w:rPr>
              <w:t>地下水</w:t>
            </w:r>
            <w:r>
              <w:rPr>
                <w:rFonts w:ascii="Times New Roman" w:hAnsi="Times New Roman" w:cs="Times New Roman"/>
                <w:sz w:val="24"/>
                <w:szCs w:val="24"/>
                <w:lang w:val="zh-CN"/>
              </w:rPr>
              <w:t>污染防治措施</w:t>
            </w:r>
            <w:r>
              <w:rPr>
                <w:rFonts w:ascii="Times New Roman" w:hAnsi="Times New Roman" w:cs="Times New Roman"/>
                <w:sz w:val="24"/>
                <w:szCs w:val="24"/>
              </w:rPr>
              <w:t>：</w:t>
            </w:r>
            <w:r>
              <w:rPr>
                <w:rFonts w:ascii="Times New Roman" w:hAnsi="Times New Roman" w:eastAsia="宋体" w:cs="Times New Roman"/>
                <w:sz w:val="24"/>
                <w:szCs w:val="24"/>
              </w:rPr>
              <w:t>根据《环境影响评价技术导则  地下水环境》（HJ610-2016）第11节“地下水环境保护措施与对策”第11.2小节“建设项目污染防控对策”中相关内容，本次评价依据建设项目场地天然包气带防污性能、污染控制难易程度和污染物特性进行地下水污染防渗分区并提出防渗技术要求：</w:t>
            </w:r>
            <w:r>
              <w:rPr>
                <w:rFonts w:hint="eastAsia" w:ascii="宋体" w:hAnsi="宋体" w:eastAsia="宋体" w:cs="宋体"/>
                <w:sz w:val="24"/>
                <w:szCs w:val="24"/>
              </w:rPr>
              <w:t>①</w:t>
            </w:r>
            <w:r>
              <w:rPr>
                <w:rFonts w:ascii="Times New Roman" w:hAnsi="Times New Roman" w:eastAsia="宋体" w:cs="Times New Roman"/>
                <w:sz w:val="24"/>
                <w:szCs w:val="24"/>
              </w:rPr>
              <w:t>重点防渗区（污水处理站）防渗技术要求：等效黏土防渗层</w:t>
            </w:r>
            <w:r>
              <w:rPr>
                <w:rFonts w:ascii="Times New Roman" w:hAnsi="Times New Roman" w:eastAsia="宋体" w:cs="Times New Roman"/>
                <w:sz w:val="24"/>
                <w:szCs w:val="24"/>
              </w:rPr>
              <w:object>
                <v:shape id="_x0000_i1033" o:spt="75" type="#_x0000_t75" style="height:12.9pt;width:17pt;" o:ole="t" filled="f" o:preferrelative="t" stroked="f" coordsize="21600,21600">
                  <v:path/>
                  <v:fill on="f" focussize="0,0"/>
                  <v:stroke on="f"/>
                  <v:imagedata r:id="rId23" o:title=""/>
                  <o:lock v:ext="edit" aspectratio="t"/>
                  <w10:wrap type="none"/>
                  <w10:anchorlock/>
                </v:shape>
                <o:OLEObject Type="Embed" ProgID="Equation.3" ShapeID="_x0000_i1033" DrawAspect="Content" ObjectID="_1468075734" r:id="rId28">
                  <o:LockedField>false</o:LockedField>
                </o:OLEObject>
              </w:object>
            </w:r>
            <w:r>
              <w:rPr>
                <w:rFonts w:ascii="Times New Roman" w:hAnsi="Times New Roman" w:eastAsia="宋体" w:cs="Times New Roman"/>
                <w:sz w:val="24"/>
                <w:szCs w:val="24"/>
              </w:rPr>
              <w:t>≥6.0m、</w:t>
            </w:r>
            <w:r>
              <w:rPr>
                <w:rFonts w:ascii="Times New Roman" w:hAnsi="Times New Roman" w:eastAsia="宋体" w:cs="Times New Roman"/>
                <w:sz w:val="24"/>
                <w:szCs w:val="24"/>
              </w:rPr>
              <w:object>
                <v:shape id="_x0000_i1034" o:spt="75" type="#_x0000_t75" style="height:10.2pt;width:10.2pt;" o:ole="t" filled="f" o:preferrelative="t" stroked="f" coordsize="21600,21600">
                  <v:path/>
                  <v:fill on="f" focussize="0,0"/>
                  <v:stroke on="f"/>
                  <v:imagedata r:id="rId25" o:title=""/>
                  <o:lock v:ext="edit" aspectratio="t"/>
                  <w10:wrap type="none"/>
                  <w10:anchorlock/>
                </v:shape>
                <o:OLEObject Type="Embed" ProgID="Equation.3" ShapeID="_x0000_i1034" DrawAspect="Content" ObjectID="_1468075735" r:id="rId29">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②</w:t>
            </w:r>
            <w:r>
              <w:rPr>
                <w:rFonts w:ascii="Times New Roman" w:hAnsi="Times New Roman" w:eastAsia="宋体" w:cs="Times New Roman"/>
                <w:sz w:val="24"/>
                <w:szCs w:val="24"/>
              </w:rPr>
              <w:t>一般防渗区（原料储库、生产车间、成品储库和一般工业固体废物暂存库）防渗技术要求：等效黏土防渗层</w:t>
            </w:r>
            <w:r>
              <w:rPr>
                <w:rFonts w:ascii="Times New Roman" w:hAnsi="Times New Roman" w:eastAsia="宋体" w:cs="Times New Roman"/>
                <w:sz w:val="24"/>
                <w:szCs w:val="24"/>
              </w:rPr>
              <w:object>
                <v:shape id="_x0000_i1035" o:spt="75" type="#_x0000_t75" style="height:12.9pt;width:17pt;" o:ole="t" filled="f" o:preferrelative="t" stroked="f" coordsize="21600,21600">
                  <v:path/>
                  <v:fill on="f" focussize="0,0"/>
                  <v:stroke on="f"/>
                  <v:imagedata r:id="rId23" o:title=""/>
                  <o:lock v:ext="edit" aspectratio="t"/>
                  <w10:wrap type="none"/>
                  <w10:anchorlock/>
                </v:shape>
                <o:OLEObject Type="Embed" ProgID="Equation.3" ShapeID="_x0000_i1035" DrawAspect="Content" ObjectID="_1468075736" r:id="rId30">
                  <o:LockedField>false</o:LockedField>
                </o:OLEObject>
              </w:object>
            </w:r>
            <w:r>
              <w:rPr>
                <w:rFonts w:ascii="Times New Roman" w:hAnsi="Times New Roman" w:eastAsia="宋体" w:cs="Times New Roman"/>
                <w:sz w:val="24"/>
                <w:szCs w:val="24"/>
              </w:rPr>
              <w:t>≥1.5m、</w:t>
            </w:r>
            <w:r>
              <w:rPr>
                <w:rFonts w:ascii="Times New Roman" w:hAnsi="Times New Roman" w:eastAsia="宋体" w:cs="Times New Roman"/>
                <w:sz w:val="24"/>
                <w:szCs w:val="24"/>
              </w:rPr>
              <w:object>
                <v:shape id="_x0000_i1036" o:spt="75" type="#_x0000_t75" style="height:10.2pt;width:10.2pt;" o:ole="t" filled="f" o:preferrelative="t" stroked="f" coordsize="21600,21600">
                  <v:path/>
                  <v:fill on="f" focussize="0,0"/>
                  <v:stroke on="f"/>
                  <v:imagedata r:id="rId25" o:title=""/>
                  <o:lock v:ext="edit" aspectratio="t"/>
                  <w10:wrap type="none"/>
                  <w10:anchorlock/>
                </v:shape>
                <o:OLEObject Type="Embed" ProgID="Equation.3" ShapeID="_x0000_i1036" DrawAspect="Content" ObjectID="_1468075737" r:id="rId31">
                  <o:LockedField>false</o:LockedField>
                </o:OLEObject>
              </w:object>
            </w:r>
            <w:r>
              <w:rPr>
                <w:rFonts w:ascii="Times New Roman" w:hAnsi="Times New Roman" w:eastAsia="宋体" w:cs="Times New Roman"/>
                <w:sz w:val="24"/>
                <w:szCs w:val="24"/>
              </w:rPr>
              <w:t>≤1.0*10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r>
              <w:rPr>
                <w:rFonts w:hint="eastAsia" w:ascii="宋体" w:hAnsi="宋体" w:eastAsia="宋体" w:cs="宋体"/>
                <w:sz w:val="24"/>
                <w:szCs w:val="24"/>
              </w:rPr>
              <w:t>③</w:t>
            </w:r>
            <w:r>
              <w:rPr>
                <w:rFonts w:ascii="Times New Roman" w:hAnsi="Times New Roman" w:eastAsia="宋体" w:cs="Times New Roman"/>
                <w:sz w:val="24"/>
                <w:szCs w:val="24"/>
              </w:rPr>
              <w:t>简单防渗区（综合办公室和配电室）防渗技术要求：一般地面硬化；本次评价要求建设单位施工期严格按照《地下水污染源防渗技术指南（试行）》（2020年2月20日实施）中相关要求进行各防渗区防渗工作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snapToGrid w:val="0"/>
              <w:jc w:val="center"/>
              <w:rPr>
                <w:rFonts w:ascii="Times New Roman" w:hAnsi="Times New Roman" w:cs="Times New Roman"/>
                <w:sz w:val="24"/>
                <w:szCs w:val="24"/>
                <w:lang w:val="zh-CN"/>
              </w:rPr>
            </w:pPr>
            <w:r>
              <w:rPr>
                <w:rFonts w:ascii="Times New Roman" w:hAnsi="Times New Roman" w:cs="Times New Roman"/>
                <w:sz w:val="24"/>
                <w:szCs w:val="24"/>
                <w:lang w:val="zh-CN"/>
              </w:rPr>
              <w:t>生态保护措施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hint="eastAsia"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jc w:val="center"/>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环境风险防范措施</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eastAsia="宋体"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88" w:type="dxa"/>
            <w:tcBorders>
              <w:tl2br w:val="nil"/>
              <w:tr2bl w:val="nil"/>
            </w:tcBorders>
            <w:vAlign w:val="center"/>
          </w:tcPr>
          <w:p>
            <w:pPr>
              <w:adjustRightInd w:val="0"/>
              <w:jc w:val="center"/>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其他环境管理要求</w:t>
            </w:r>
          </w:p>
        </w:tc>
        <w:tc>
          <w:tcPr>
            <w:tcW w:w="14070" w:type="dxa"/>
            <w:gridSpan w:val="5"/>
            <w:tcBorders>
              <w:tl2br w:val="nil"/>
              <w:tr2bl w:val="nil"/>
            </w:tcBorders>
            <w:vAlign w:val="center"/>
          </w:tcPr>
          <w:p>
            <w:pPr>
              <w:adjustRightInd w:val="0"/>
              <w:snapToGrid w:val="0"/>
              <w:rPr>
                <w:rFonts w:ascii="Times New Roman" w:hAnsi="Times New Roman" w:eastAsia="宋体" w:cs="Times New Roman"/>
                <w:sz w:val="24"/>
                <w:szCs w:val="24"/>
              </w:rPr>
            </w:pPr>
            <w:r>
              <w:rPr>
                <w:rFonts w:ascii="Times New Roman" w:hAnsi="Times New Roman" w:cs="Times New Roman"/>
                <w:sz w:val="24"/>
                <w:szCs w:val="24"/>
              </w:rPr>
              <w:t>严格执行环境管理和监测计划</w:t>
            </w:r>
          </w:p>
        </w:tc>
      </w:tr>
    </w:tbl>
    <w:p>
      <w:pPr>
        <w:rPr>
          <w:rFonts w:ascii="Times New Roman" w:hAnsi="Times New Roman" w:eastAsia="宋体" w:cs="Times New Roman"/>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beforeLines="50" w:after="120" w:afterLines="50" w:line="240" w:lineRule="auto"/>
        <w:ind w:left="0" w:firstLine="0"/>
        <w:jc w:val="center"/>
        <w:rPr>
          <w:b w:val="0"/>
          <w:bCs w:val="0"/>
        </w:rPr>
      </w:pPr>
      <w:r>
        <w:rPr>
          <w:b w:val="0"/>
          <w:bCs w:val="0"/>
        </w:rPr>
        <w:t>六、结论</w:t>
      </w:r>
    </w:p>
    <w:tbl>
      <w:tblPr>
        <w:tblStyle w:val="21"/>
        <w:tblW w:w="102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10205" w:type="dxa"/>
            <w:tcBorders>
              <w:tl2br w:val="nil"/>
              <w:tr2bl w:val="nil"/>
            </w:tcBorders>
          </w:tcPr>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highlight w:val="green"/>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r>
              <w:rPr>
                <w:rFonts w:ascii="Times New Roman" w:hAnsi="Times New Roman" w:eastAsia="宋体" w:cs="Times New Roman"/>
                <w:sz w:val="24"/>
                <w:szCs w:val="24"/>
              </w:rPr>
              <w:t>山西省吕梁市柳林县穆村镇安沟村安沟股份经济合作社年产5000吨豆制品生产项目</w:t>
            </w:r>
            <w:r>
              <w:rPr>
                <w:rFonts w:ascii="Times New Roman" w:hAnsi="Times New Roman" w:eastAsia="宋体" w:cs="Times New Roman"/>
                <w:kern w:val="0"/>
                <w:sz w:val="24"/>
                <w:szCs w:val="24"/>
                <w:lang w:bidi="ar"/>
              </w:rPr>
              <w:t>符合国家和地方相关政策及规划要求，且建设单位严格落实环境影响报告表中提出的各项污染防治措施后，大气污染物和噪声均可达标排放、废水全部综合利用、固体废物全部综合利用或合理处置，不会对环境造成明显影响，因此，从环保角度考虑，本次评价认为该项目建设可行。</w:t>
            </w: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kern w:val="0"/>
                <w:sz w:val="24"/>
                <w:szCs w:val="24"/>
                <w:lang w:bidi="ar"/>
              </w:rPr>
            </w:pPr>
          </w:p>
          <w:p>
            <w:pPr>
              <w:autoSpaceDE w:val="0"/>
              <w:autoSpaceDN w:val="0"/>
              <w:spacing w:line="480" w:lineRule="exact"/>
              <w:ind w:firstLine="480" w:firstLineChars="200"/>
              <w:rPr>
                <w:rFonts w:ascii="Times New Roman" w:hAnsi="Times New Roman" w:eastAsia="宋体" w:cs="Times New Roman"/>
                <w:sz w:val="24"/>
              </w:rPr>
            </w:pPr>
          </w:p>
        </w:tc>
      </w:tr>
    </w:tbl>
    <w:p>
      <w:pPr>
        <w:sectPr>
          <w:pgSz w:w="11906" w:h="16838"/>
          <w:pgMar w:top="1417" w:right="1134" w:bottom="1417" w:left="1134" w:header="851" w:footer="851" w:gutter="0"/>
          <w:pgBorders>
            <w:top w:val="none" w:sz="0" w:space="0"/>
            <w:left w:val="none" w:sz="0" w:space="0"/>
            <w:bottom w:val="none" w:sz="0" w:space="0"/>
            <w:right w:val="none" w:sz="0" w:space="0"/>
          </w:pgBorders>
          <w:cols w:space="720" w:num="1"/>
          <w:docGrid w:linePitch="312" w:charSpace="0"/>
        </w:sectPr>
      </w:pPr>
    </w:p>
    <w:p>
      <w:pPr>
        <w:pStyle w:val="3"/>
        <w:spacing w:before="156" w:beforeLines="50" w:after="156" w:afterLines="50" w:line="240" w:lineRule="auto"/>
        <w:ind w:left="0" w:firstLine="0"/>
        <w:jc w:val="center"/>
        <w:rPr>
          <w:b w:val="0"/>
          <w:bCs w:val="0"/>
        </w:rPr>
      </w:pPr>
      <w:r>
        <w:rPr>
          <w:b w:val="0"/>
          <w:bCs w:val="0"/>
        </w:rPr>
        <w:t>附表</w:t>
      </w:r>
    </w:p>
    <w:p>
      <w:pPr>
        <w:spacing w:line="48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建设项目污染物排放量汇总表</w:t>
      </w:r>
    </w:p>
    <w:tbl>
      <w:tblPr>
        <w:tblStyle w:val="22"/>
        <w:tblW w:w="1025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7"/>
        <w:gridCol w:w="1184"/>
        <w:gridCol w:w="876"/>
        <w:gridCol w:w="1169"/>
        <w:gridCol w:w="1073"/>
        <w:gridCol w:w="1161"/>
        <w:gridCol w:w="1405"/>
        <w:gridCol w:w="1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54" w:hRule="atLeast"/>
          <w:jc w:val="center"/>
        </w:trPr>
        <w:tc>
          <w:tcPr>
            <w:tcW w:w="739" w:type="dxa"/>
            <w:vAlign w:val="center"/>
          </w:tcPr>
          <w:p>
            <w:pPr>
              <w:adjustRightInd w:val="0"/>
              <w:jc w:val="right"/>
              <w:rPr>
                <w:rFonts w:ascii="Times New Roman" w:hAnsi="Times New Roman" w:eastAsia="宋体" w:cs="Times New Roman"/>
                <w:kern w:val="0"/>
                <w:sz w:val="21"/>
                <w:szCs w:val="21"/>
              </w:rPr>
            </w:pPr>
            <w:r>
              <w:rPr>
                <w:rFonts w:ascii="Times New Roman" w:hAnsi="Times New Roman" w:eastAsia="宋体" w:cs="Times New Roman"/>
                <w:kern w:val="0"/>
                <w:sz w:val="20"/>
                <w:szCs w:val="21"/>
              </w:rPr>
              <mc:AlternateContent>
                <mc:Choice Requires="wps">
                  <w:drawing>
                    <wp:anchor distT="0" distB="0" distL="114300" distR="114300" simplePos="0" relativeHeight="251681792" behindDoc="0" locked="0" layoutInCell="1" allowOverlap="1">
                      <wp:simplePos x="0" y="0"/>
                      <wp:positionH relativeFrom="column">
                        <wp:posOffset>-67310</wp:posOffset>
                      </wp:positionH>
                      <wp:positionV relativeFrom="paragraph">
                        <wp:posOffset>-2540</wp:posOffset>
                      </wp:positionV>
                      <wp:extent cx="470535" cy="736600"/>
                      <wp:effectExtent l="0" t="0" r="24765" b="25400"/>
                      <wp:wrapNone/>
                      <wp:docPr id="6" name="直接连接符 6"/>
                      <wp:cNvGraphicFramePr/>
                      <a:graphic xmlns:a="http://schemas.openxmlformats.org/drawingml/2006/main">
                        <a:graphicData uri="http://schemas.microsoft.com/office/word/2010/wordprocessingShape">
                          <wps:wsp>
                            <wps:cNvCnPr/>
                            <wps:spPr>
                              <a:xfrm>
                                <a:off x="0" y="0"/>
                                <a:ext cx="470535" cy="736600"/>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3pt;margin-top:-0.2pt;height:58pt;width:37.05pt;z-index:251681792;mso-width-relative:page;mso-height-relative:page;" filled="f" stroked="t" coordsize="21600,21600" o:gfxdata="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0OaXrdQAAAAIAQAADwAAAAAAAAABACAA&#10;AAAiAAAAZHJzL2Rvd25yZXYueG1sUEsBAhQAFAAAAAgAh07iQCPyUGzYAQAAjgMAAA4AAAAAAAAA&#10;AQAgAAAAIwEAAGRycy9lMm9Eb2MueG1sUEsFBgAAAAAGAAYAWQEAAG0FAAAAAA==&#10;">
                      <v:fill on="f" focussize="0,0"/>
                      <v:stroke weight="0.5pt" color="#000000" joinstyle="round"/>
                      <v:imagedata o:title=""/>
                      <o:lock v:ext="edit" aspectratio="f"/>
                    </v:line>
                  </w:pict>
                </mc:Fallback>
              </mc:AlternateContent>
            </w:r>
            <w:r>
              <w:rPr>
                <w:rFonts w:ascii="Times New Roman" w:hAnsi="Times New Roman" w:eastAsia="宋体" w:cs="Times New Roman"/>
                <w:kern w:val="0"/>
                <w:sz w:val="21"/>
                <w:szCs w:val="21"/>
              </w:rPr>
              <w:t>项目</w:t>
            </w:r>
          </w:p>
          <w:p>
            <w:pPr>
              <w:adjustRightInd w:val="0"/>
              <w:jc w:val="center"/>
              <w:rPr>
                <w:rFonts w:ascii="Times New Roman" w:hAnsi="Times New Roman" w:eastAsia="宋体" w:cs="Times New Roman"/>
                <w:kern w:val="0"/>
                <w:sz w:val="21"/>
                <w:szCs w:val="21"/>
              </w:rPr>
            </w:pPr>
          </w:p>
          <w:p>
            <w:pPr>
              <w:adjustRightInd w:val="0"/>
              <w:jc w:val="left"/>
              <w:rPr>
                <w:rFonts w:ascii="Times New Roman" w:hAnsi="Times New Roman" w:eastAsia="宋体" w:cs="Times New Roman"/>
                <w:kern w:val="0"/>
                <w:sz w:val="21"/>
                <w:szCs w:val="21"/>
              </w:rPr>
            </w:pPr>
          </w:p>
          <w:p>
            <w:pPr>
              <w:adjustRightInd w:val="0"/>
              <w:jc w:val="left"/>
              <w:rPr>
                <w:rFonts w:ascii="Times New Roman" w:hAnsi="Times New Roman" w:eastAsia="宋体" w:cs="Times New Roman"/>
                <w:kern w:val="0"/>
                <w:sz w:val="21"/>
                <w:szCs w:val="21"/>
              </w:rPr>
            </w:pPr>
            <w:r>
              <w:rPr>
                <w:rFonts w:ascii="Times New Roman" w:hAnsi="Times New Roman" w:eastAsia="宋体" w:cs="Times New Roman"/>
                <w:kern w:val="0"/>
                <w:sz w:val="21"/>
                <w:szCs w:val="21"/>
              </w:rPr>
              <w:t>分类</w:t>
            </w:r>
          </w:p>
        </w:tc>
        <w:tc>
          <w:tcPr>
            <w:tcW w:w="1477"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污染物名称</w:t>
            </w:r>
          </w:p>
        </w:tc>
        <w:tc>
          <w:tcPr>
            <w:tcW w:w="1184"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现有工程排放量（固体废物产生量）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1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①</w:t>
            </w:r>
            <w:r>
              <w:rPr>
                <w:rFonts w:ascii="Times New Roman" w:hAnsi="Times New Roman" w:eastAsia="宋体" w:cs="Times New Roman"/>
                <w:kern w:val="0"/>
                <w:sz w:val="20"/>
                <w:szCs w:val="21"/>
              </w:rPr>
              <w:fldChar w:fldCharType="end"/>
            </w:r>
          </w:p>
        </w:tc>
        <w:tc>
          <w:tcPr>
            <w:tcW w:w="876"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现有工程许可排放量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2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②</w:t>
            </w:r>
            <w:r>
              <w:rPr>
                <w:rFonts w:ascii="Times New Roman" w:hAnsi="Times New Roman" w:eastAsia="宋体" w:cs="Times New Roman"/>
                <w:kern w:val="0"/>
                <w:sz w:val="20"/>
                <w:szCs w:val="21"/>
              </w:rPr>
              <w:fldChar w:fldCharType="end"/>
            </w:r>
          </w:p>
        </w:tc>
        <w:tc>
          <w:tcPr>
            <w:tcW w:w="1169"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在建工程排放量（固体废物产生量）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3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③</w:t>
            </w:r>
            <w:r>
              <w:rPr>
                <w:rFonts w:ascii="Times New Roman" w:hAnsi="Times New Roman" w:eastAsia="宋体" w:cs="Times New Roman"/>
                <w:kern w:val="0"/>
                <w:sz w:val="20"/>
                <w:szCs w:val="21"/>
              </w:rPr>
              <w:fldChar w:fldCharType="end"/>
            </w:r>
          </w:p>
        </w:tc>
        <w:tc>
          <w:tcPr>
            <w:tcW w:w="1073"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本项目排放量（固体废物产生量）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4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④</w:t>
            </w:r>
            <w:r>
              <w:rPr>
                <w:rFonts w:ascii="Times New Roman" w:hAnsi="Times New Roman" w:eastAsia="宋体" w:cs="Times New Roman"/>
                <w:kern w:val="0"/>
                <w:sz w:val="20"/>
                <w:szCs w:val="21"/>
              </w:rPr>
              <w:fldChar w:fldCharType="end"/>
            </w:r>
          </w:p>
        </w:tc>
        <w:tc>
          <w:tcPr>
            <w:tcW w:w="1161"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以新带老削减量（新建项目不填）</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5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⑤</w:t>
            </w:r>
            <w:r>
              <w:rPr>
                <w:rFonts w:ascii="Times New Roman" w:hAnsi="Times New Roman" w:eastAsia="宋体" w:cs="Times New Roman"/>
                <w:kern w:val="0"/>
                <w:sz w:val="20"/>
                <w:szCs w:val="21"/>
              </w:rPr>
              <w:fldChar w:fldCharType="end"/>
            </w:r>
          </w:p>
        </w:tc>
        <w:tc>
          <w:tcPr>
            <w:tcW w:w="1405"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本项目建成后全厂排放量（固体废物产生量）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6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⑥</w:t>
            </w:r>
            <w:r>
              <w:rPr>
                <w:rFonts w:ascii="Times New Roman" w:hAnsi="Times New Roman" w:eastAsia="宋体" w:cs="Times New Roman"/>
                <w:kern w:val="0"/>
                <w:sz w:val="20"/>
                <w:szCs w:val="21"/>
              </w:rPr>
              <w:fldChar w:fldCharType="end"/>
            </w:r>
          </w:p>
        </w:tc>
        <w:tc>
          <w:tcPr>
            <w:tcW w:w="1169" w:type="dxa"/>
            <w:vAlign w:val="center"/>
          </w:tcPr>
          <w:p>
            <w:pPr>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变化量</w:t>
            </w:r>
            <w:r>
              <w:rPr>
                <w:rFonts w:ascii="Times New Roman" w:hAnsi="Times New Roman" w:eastAsia="宋体" w:cs="Times New Roman"/>
                <w:kern w:val="0"/>
                <w:sz w:val="20"/>
                <w:szCs w:val="21"/>
              </w:rPr>
              <w:fldChar w:fldCharType="begin"/>
            </w:r>
            <w:r>
              <w:rPr>
                <w:rFonts w:ascii="Times New Roman" w:hAnsi="Times New Roman" w:eastAsia="宋体" w:cs="Times New Roman"/>
                <w:kern w:val="0"/>
                <w:sz w:val="21"/>
                <w:szCs w:val="21"/>
              </w:rPr>
              <w:instrText xml:space="preserve"> = 7 \* GB3 \* MERGEFORMAT </w:instrText>
            </w:r>
            <w:r>
              <w:rPr>
                <w:rFonts w:ascii="Times New Roman" w:hAnsi="Times New Roman" w:eastAsia="宋体" w:cs="Times New Roman"/>
                <w:kern w:val="0"/>
                <w:sz w:val="20"/>
                <w:szCs w:val="21"/>
              </w:rPr>
              <w:fldChar w:fldCharType="separate"/>
            </w:r>
            <w:r>
              <w:rPr>
                <w:rFonts w:hint="eastAsia" w:ascii="宋体" w:hAnsi="宋体" w:eastAsia="宋体" w:cs="宋体"/>
                <w:kern w:val="0"/>
                <w:sz w:val="21"/>
                <w:szCs w:val="21"/>
              </w:rPr>
              <w:t>⑦</w:t>
            </w:r>
            <w:r>
              <w:rPr>
                <w:rFonts w:ascii="Times New Roman" w:hAnsi="Times New Roman" w:eastAsia="宋体" w:cs="Times New Roman"/>
                <w:kern w:val="0"/>
                <w:sz w:val="20"/>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废气</w:t>
            </w:r>
          </w:p>
        </w:tc>
        <w:tc>
          <w:tcPr>
            <w:tcW w:w="1477" w:type="dxa"/>
            <w:vAlign w:val="center"/>
          </w:tcPr>
          <w:p>
            <w:pPr>
              <w:jc w:val="center"/>
              <w:rPr>
                <w:rFonts w:ascii="Times New Roman" w:hAnsi="Times New Roman" w:eastAsia="宋体" w:cs="Times New Roman"/>
                <w:kern w:val="0"/>
                <w:sz w:val="21"/>
                <w:szCs w:val="21"/>
                <w:lang w:val="zh-CN"/>
              </w:rPr>
            </w:pPr>
            <w:r>
              <w:rPr>
                <w:rFonts w:ascii="Times New Roman" w:hAnsi="Times New Roman" w:eastAsia="宋体" w:cs="Times New Roman"/>
                <w:kern w:val="0"/>
                <w:sz w:val="21"/>
                <w:szCs w:val="21"/>
                <w:lang w:val="zh-CN"/>
              </w:rPr>
              <w:t>/</w:t>
            </w:r>
          </w:p>
        </w:tc>
        <w:tc>
          <w:tcPr>
            <w:tcW w:w="1184"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1"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restart"/>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lang w:bidi="ar"/>
              </w:rPr>
              <w:t>废水</w:t>
            </w:r>
          </w:p>
        </w:tc>
        <w:tc>
          <w:tcPr>
            <w:tcW w:w="1477" w:type="dxa"/>
            <w:vAlign w:val="center"/>
          </w:tcPr>
          <w:p>
            <w:pPr>
              <w:adjustRightInd w:val="0"/>
              <w:jc w:val="center"/>
              <w:rPr>
                <w:rFonts w:ascii="Times New Roman" w:hAnsi="Times New Roman" w:eastAsia="宋体" w:cs="Times New Roman"/>
                <w:kern w:val="2"/>
                <w:sz w:val="21"/>
                <w:szCs w:val="21"/>
              </w:rPr>
            </w:pPr>
            <w:r>
              <w:rPr>
                <w:rFonts w:ascii="Times New Roman" w:hAnsi="Times New Roman" w:eastAsia="宋体" w:cs="Times New Roman"/>
                <w:kern w:val="0"/>
                <w:sz w:val="21"/>
                <w:szCs w:val="21"/>
              </w:rPr>
              <w:t>生活污水</w:t>
            </w:r>
          </w:p>
        </w:tc>
        <w:tc>
          <w:tcPr>
            <w:tcW w:w="1184"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1"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continue"/>
            <w:vAlign w:val="center"/>
          </w:tcPr>
          <w:p>
            <w:pPr>
              <w:pStyle w:val="7"/>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2"/>
                <w:sz w:val="21"/>
                <w:szCs w:val="21"/>
                <w:lang w:val="zh-CN"/>
              </w:rPr>
            </w:pPr>
            <w:r>
              <w:rPr>
                <w:rFonts w:ascii="Times New Roman" w:hAnsi="Times New Roman" w:eastAsia="宋体" w:cs="Times New Roman"/>
                <w:kern w:val="0"/>
                <w:sz w:val="21"/>
                <w:szCs w:val="21"/>
                <w:lang w:val="zh-CN"/>
              </w:rPr>
              <w:t>生产废水</w:t>
            </w:r>
          </w:p>
        </w:tc>
        <w:tc>
          <w:tcPr>
            <w:tcW w:w="1184"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1"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c>
          <w:tcPr>
            <w:tcW w:w="1169" w:type="dxa"/>
            <w:vAlign w:val="center"/>
          </w:tcPr>
          <w:p>
            <w:pPr>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0m</w:t>
            </w:r>
            <w:r>
              <w:rPr>
                <w:rFonts w:ascii="Times New Roman" w:hAnsi="Times New Roman" w:eastAsia="宋体" w:cs="Times New Roman"/>
                <w:kern w:val="0"/>
                <w:sz w:val="18"/>
                <w:szCs w:val="18"/>
                <w:vertAlign w:val="superscript"/>
              </w:rPr>
              <w:t>3</w:t>
            </w:r>
            <w:r>
              <w:rPr>
                <w:rFonts w:ascii="Times New Roman" w:hAnsi="Times New Roman" w:eastAsia="宋体" w:cs="Times New Roman"/>
                <w:kern w:val="0"/>
                <w:sz w:val="18"/>
                <w:szCs w:val="18"/>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restart"/>
            <w:vAlign w:val="center"/>
          </w:tcPr>
          <w:p>
            <w:pPr>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lang w:bidi="ar"/>
              </w:rPr>
              <w:t>一般工业固体废物</w:t>
            </w: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豆渣</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2467.5t/a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2467.5t/a</w:t>
            </w:r>
          </w:p>
        </w:tc>
        <w:tc>
          <w:tcPr>
            <w:tcW w:w="1169"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+2467.5t/a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continue"/>
            <w:vAlign w:val="center"/>
          </w:tcPr>
          <w:p>
            <w:pPr>
              <w:pStyle w:val="7"/>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rPr>
              <w:t>不合格品</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5t/a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5t/a</w:t>
            </w:r>
          </w:p>
        </w:tc>
        <w:tc>
          <w:tcPr>
            <w:tcW w:w="1169"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continue"/>
            <w:vAlign w:val="center"/>
          </w:tcPr>
          <w:p>
            <w:pPr>
              <w:pStyle w:val="7"/>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color w:val="000000"/>
                <w:kern w:val="0"/>
                <w:sz w:val="20"/>
                <w:szCs w:val="21"/>
                <w:lang w:val="zh-CN"/>
              </w:rPr>
            </w:pPr>
            <w:r>
              <w:rPr>
                <w:rFonts w:ascii="Times New Roman" w:hAnsi="Times New Roman" w:eastAsia="宋体" w:cs="Times New Roman"/>
                <w:color w:val="000000"/>
                <w:kern w:val="0"/>
                <w:sz w:val="20"/>
                <w:szCs w:val="21"/>
                <w:lang w:val="zh-CN"/>
              </w:rPr>
              <w:t>污泥</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25t/a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25t/a</w:t>
            </w:r>
          </w:p>
        </w:tc>
        <w:tc>
          <w:tcPr>
            <w:tcW w:w="1169"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continue"/>
            <w:vAlign w:val="center"/>
          </w:tcPr>
          <w:p>
            <w:pPr>
              <w:pStyle w:val="7"/>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废包装袋</w:t>
            </w:r>
          </w:p>
        </w:tc>
        <w:tc>
          <w:tcPr>
            <w:tcW w:w="1184" w:type="dxa"/>
            <w:vAlign w:val="center"/>
          </w:tcPr>
          <w:p>
            <w:pPr>
              <w:adjustRightInd w:val="0"/>
              <w:jc w:val="center"/>
              <w:rPr>
                <w:rFonts w:ascii="Times New Roman" w:hAnsi="Times New Roman" w:eastAsia="宋体" w:cs="Times New Roman"/>
                <w:kern w:val="0"/>
                <w:sz w:val="18"/>
                <w:szCs w:val="18"/>
              </w:rPr>
            </w:pPr>
          </w:p>
        </w:tc>
        <w:tc>
          <w:tcPr>
            <w:tcW w:w="876" w:type="dxa"/>
            <w:vAlign w:val="center"/>
          </w:tcPr>
          <w:p>
            <w:pPr>
              <w:adjustRightInd w:val="0"/>
              <w:jc w:val="center"/>
              <w:rPr>
                <w:rFonts w:ascii="Times New Roman" w:hAnsi="Times New Roman" w:eastAsia="宋体" w:cs="Times New Roman"/>
                <w:kern w:val="0"/>
                <w:sz w:val="18"/>
                <w:szCs w:val="18"/>
              </w:rPr>
            </w:pPr>
          </w:p>
        </w:tc>
        <w:tc>
          <w:tcPr>
            <w:tcW w:w="1169" w:type="dxa"/>
            <w:vAlign w:val="center"/>
          </w:tcPr>
          <w:p>
            <w:pPr>
              <w:adjustRightInd w:val="0"/>
              <w:jc w:val="center"/>
              <w:rPr>
                <w:rFonts w:ascii="Times New Roman" w:hAnsi="Times New Roman" w:eastAsia="宋体" w:cs="Times New Roman"/>
                <w:kern w:val="0"/>
                <w:sz w:val="18"/>
                <w:szCs w:val="18"/>
              </w:rPr>
            </w:pPr>
          </w:p>
        </w:tc>
        <w:tc>
          <w:tcPr>
            <w:tcW w:w="1073"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0.1t/a</w:t>
            </w:r>
          </w:p>
        </w:tc>
        <w:tc>
          <w:tcPr>
            <w:tcW w:w="1161" w:type="dxa"/>
            <w:vAlign w:val="center"/>
          </w:tcPr>
          <w:p>
            <w:pPr>
              <w:adjustRightInd w:val="0"/>
              <w:jc w:val="center"/>
              <w:rPr>
                <w:rFonts w:ascii="Times New Roman" w:hAnsi="Times New Roman" w:eastAsia="宋体" w:cs="Times New Roman"/>
                <w:kern w:val="0"/>
                <w:sz w:val="18"/>
                <w:szCs w:val="18"/>
              </w:rPr>
            </w:pPr>
          </w:p>
        </w:tc>
        <w:tc>
          <w:tcPr>
            <w:tcW w:w="1405"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0.1t/a</w:t>
            </w:r>
          </w:p>
        </w:tc>
        <w:tc>
          <w:tcPr>
            <w:tcW w:w="1169" w:type="dxa"/>
            <w:vAlign w:val="center"/>
          </w:tcPr>
          <w:p>
            <w:pPr>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Merge w:val="continue"/>
            <w:vAlign w:val="center"/>
          </w:tcPr>
          <w:p>
            <w:pPr>
              <w:pStyle w:val="7"/>
              <w:jc w:val="center"/>
              <w:rPr>
                <w:rFonts w:ascii="Times New Roman" w:hAnsi="Times New Roman"/>
                <w:kern w:val="0"/>
                <w:sz w:val="21"/>
                <w:szCs w:val="21"/>
              </w:rPr>
            </w:pPr>
          </w:p>
        </w:tc>
        <w:tc>
          <w:tcPr>
            <w:tcW w:w="1477" w:type="dxa"/>
            <w:vAlign w:val="center"/>
          </w:tcPr>
          <w:p>
            <w:pPr>
              <w:adjustRightInd w:val="0"/>
              <w:jc w:val="center"/>
              <w:rPr>
                <w:rFonts w:ascii="Times New Roman" w:hAnsi="Times New Roman" w:eastAsia="宋体" w:cs="Times New Roman"/>
                <w:kern w:val="0"/>
                <w:sz w:val="20"/>
                <w:szCs w:val="21"/>
                <w:lang w:val="zh-CN"/>
              </w:rPr>
            </w:pPr>
            <w:r>
              <w:rPr>
                <w:rFonts w:ascii="Times New Roman" w:hAnsi="Times New Roman" w:eastAsia="宋体" w:cs="Times New Roman"/>
                <w:kern w:val="0"/>
                <w:sz w:val="20"/>
                <w:szCs w:val="21"/>
                <w:lang w:val="zh-CN"/>
              </w:rPr>
              <w:t>滤渣</w:t>
            </w:r>
          </w:p>
        </w:tc>
        <w:tc>
          <w:tcPr>
            <w:tcW w:w="1184"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876"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169"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073"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2.5t/a</w:t>
            </w:r>
          </w:p>
        </w:tc>
        <w:tc>
          <w:tcPr>
            <w:tcW w:w="1161" w:type="dxa"/>
            <w:vAlign w:val="center"/>
          </w:tcPr>
          <w:p>
            <w:pPr>
              <w:adjustRightInd w:val="0"/>
              <w:jc w:val="center"/>
              <w:rPr>
                <w:rFonts w:ascii="Times New Roman" w:hAnsi="Times New Roman" w:eastAsia="宋体" w:cs="Times New Roman"/>
                <w:kern w:val="2"/>
                <w:sz w:val="18"/>
                <w:szCs w:val="18"/>
              </w:rPr>
            </w:pPr>
            <w:r>
              <w:rPr>
                <w:rFonts w:ascii="Times New Roman" w:hAnsi="Times New Roman" w:eastAsia="宋体" w:cs="Times New Roman"/>
                <w:kern w:val="0"/>
                <w:sz w:val="18"/>
                <w:szCs w:val="18"/>
              </w:rPr>
              <w:t>/</w:t>
            </w:r>
          </w:p>
        </w:tc>
        <w:tc>
          <w:tcPr>
            <w:tcW w:w="1405"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2.5t/a</w:t>
            </w:r>
          </w:p>
        </w:tc>
        <w:tc>
          <w:tcPr>
            <w:tcW w:w="1169" w:type="dxa"/>
            <w:vAlign w:val="center"/>
          </w:tcPr>
          <w:p>
            <w:pPr>
              <w:adjustRightIn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39" w:type="dxa"/>
            <w:vAlign w:val="center"/>
          </w:tcPr>
          <w:p>
            <w:pPr>
              <w:jc w:val="center"/>
              <w:rPr>
                <w:rFonts w:ascii="Times New Roman" w:hAnsi="Times New Roman" w:eastAsia="宋体" w:cs="Times New Roman"/>
                <w:kern w:val="0"/>
                <w:sz w:val="21"/>
                <w:szCs w:val="21"/>
                <w:lang w:bidi="ar"/>
              </w:rPr>
            </w:pPr>
            <w:r>
              <w:rPr>
                <w:rFonts w:ascii="Times New Roman" w:hAnsi="Times New Roman" w:eastAsia="宋体" w:cs="Times New Roman"/>
                <w:kern w:val="0"/>
                <w:sz w:val="21"/>
                <w:szCs w:val="21"/>
                <w:lang w:bidi="ar"/>
              </w:rPr>
              <w:t>危险废物</w:t>
            </w:r>
          </w:p>
        </w:tc>
        <w:tc>
          <w:tcPr>
            <w:tcW w:w="1477"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84"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876"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073"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1"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405"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c>
          <w:tcPr>
            <w:tcW w:w="1169" w:type="dxa"/>
            <w:vAlign w:val="center"/>
          </w:tcPr>
          <w:p>
            <w:pPr>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w:t>
            </w:r>
          </w:p>
        </w:tc>
      </w:tr>
    </w:tbl>
    <w:p>
      <w:pPr>
        <w:rPr>
          <w:rFonts w:ascii="Times New Roman" w:hAnsi="Times New Roman" w:eastAsia="宋体" w:cs="Times New Roman"/>
          <w:szCs w:val="21"/>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Cs w:val="21"/>
        </w:rPr>
        <w:t>注：</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6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⑥</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1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①</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3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③</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4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④</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5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⑤</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7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⑦</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6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⑥</w:t>
      </w:r>
      <w:r>
        <w:rPr>
          <w:rFonts w:ascii="Times New Roman" w:hAnsi="Times New Roman" w:eastAsia="宋体" w:cs="Times New Roman"/>
          <w:szCs w:val="21"/>
        </w:rPr>
        <w:fldChar w:fldCharType="end"/>
      </w:r>
      <w:r>
        <w:rPr>
          <w:rFonts w:ascii="Times New Roman" w:hAnsi="Times New Roman" w:eastAsia="宋体" w:cs="Times New Roman"/>
          <w:szCs w:val="21"/>
        </w:rPr>
        <w:t>-</w:t>
      </w: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 1 \* GB3 \* MERGEFORMAT </w:instrText>
      </w:r>
      <w:r>
        <w:rPr>
          <w:rFonts w:ascii="Times New Roman" w:hAnsi="Times New Roman" w:eastAsia="宋体" w:cs="Times New Roman"/>
          <w:szCs w:val="21"/>
        </w:rPr>
        <w:fldChar w:fldCharType="separate"/>
      </w:r>
      <w:r>
        <w:rPr>
          <w:rFonts w:hint="eastAsia" w:ascii="宋体" w:hAnsi="宋体" w:eastAsia="宋体" w:cs="宋体"/>
          <w:szCs w:val="21"/>
        </w:rPr>
        <w:t>①</w:t>
      </w:r>
      <w:r>
        <w:rPr>
          <w:rFonts w:ascii="Times New Roman" w:hAnsi="Times New Roman" w:eastAsia="宋体" w:cs="Times New Roman"/>
          <w:szCs w:val="21"/>
        </w:rPr>
        <w:fldChar w:fldCharType="end"/>
      </w:r>
    </w:p>
    <w:p>
      <w:pPr>
        <w:rPr>
          <w:rFonts w:ascii="Times New Roman" w:hAnsi="Times New Roman" w:eastAsia="宋体" w:cs="Times New Roman"/>
          <w:szCs w:val="21"/>
        </w:rPr>
      </w:pPr>
    </w:p>
    <w:p>
      <w:pPr>
        <w:rPr>
          <w:rFonts w:ascii="Times New Roman" w:hAnsi="Times New Roman" w:eastAsia="宋体" w:cs="Times New Roman"/>
          <w:szCs w:val="21"/>
        </w:rPr>
      </w:pPr>
    </w:p>
    <w:p>
      <w:pPr>
        <w:rPr>
          <w:rFonts w:hint="eastAsia" w:asciiTheme="minorEastAsia" w:hAnsiTheme="minorEastAsia" w:eastAsiaTheme="minorEastAsia" w:cstheme="minorEastAsia"/>
          <w:sz w:val="30"/>
          <w:szCs w:val="30"/>
        </w:rPr>
      </w:pPr>
    </w:p>
    <w:p>
      <w:pPr>
        <w:jc w:val="center"/>
        <w:rPr>
          <w:rFonts w:hint="eastAsia" w:asciiTheme="minorEastAsia" w:hAnsiTheme="minorEastAsia" w:eastAsiaTheme="minorEastAsia" w:cstheme="minorEastAsia"/>
          <w:b/>
          <w:bCs/>
          <w:sz w:val="30"/>
          <w:szCs w:val="30"/>
        </w:rPr>
      </w:pPr>
      <w:r>
        <w:rPr>
          <w:rFonts w:hint="eastAsia" w:asciiTheme="minorEastAsia" w:hAnsiTheme="minorEastAsia" w:eastAsiaTheme="minorEastAsia" w:cstheme="minorEastAsia"/>
          <w:b/>
          <w:bCs/>
          <w:sz w:val="30"/>
          <w:szCs w:val="30"/>
        </w:rPr>
        <w:t>山西省吕梁市柳林县穆村镇安沟村安沟股份经济合作社</w:t>
      </w:r>
    </w:p>
    <w:p>
      <w:pPr>
        <w:jc w:val="center"/>
        <w:rPr>
          <w:rFonts w:hint="eastAsia" w:asciiTheme="minorEastAsia" w:hAnsiTheme="minorEastAsia" w:eastAsiaTheme="minorEastAsia" w:cstheme="minorEastAsia"/>
          <w:b/>
          <w:bCs/>
          <w:sz w:val="30"/>
          <w:szCs w:val="30"/>
        </w:rPr>
      </w:pPr>
      <w:r>
        <w:rPr>
          <w:rFonts w:hint="eastAsia" w:asciiTheme="minorEastAsia" w:hAnsiTheme="minorEastAsia" w:eastAsiaTheme="minorEastAsia" w:cstheme="minorEastAsia"/>
          <w:b/>
          <w:bCs/>
          <w:sz w:val="30"/>
          <w:szCs w:val="30"/>
        </w:rPr>
        <w:t>年产5000吨豆制品生产项目</w:t>
      </w:r>
    </w:p>
    <w:p>
      <w:pPr>
        <w:rPr>
          <w:rFonts w:hint="eastAsia" w:asciiTheme="minorEastAsia" w:hAnsiTheme="minorEastAsia" w:eastAsiaTheme="minorEastAsia" w:cstheme="minorEastAsia"/>
          <w:b/>
          <w:bCs/>
          <w:sz w:val="30"/>
          <w:szCs w:val="30"/>
        </w:rPr>
      </w:pPr>
    </w:p>
    <w:p>
      <w:pPr>
        <w:jc w:val="center"/>
        <w:rPr>
          <w:rFonts w:hint="eastAsia" w:asciiTheme="minorEastAsia" w:hAnsiTheme="minorEastAsia" w:eastAsiaTheme="minorEastAsia" w:cstheme="minorEastAsia"/>
          <w:b/>
          <w:bCs/>
          <w:sz w:val="30"/>
          <w:szCs w:val="30"/>
          <w:lang w:val="en-US" w:eastAsia="zh-CN"/>
        </w:rPr>
      </w:pPr>
      <w:r>
        <w:rPr>
          <w:rFonts w:hint="eastAsia" w:asciiTheme="minorEastAsia" w:hAnsiTheme="minorEastAsia" w:cstheme="minorEastAsia"/>
          <w:b/>
          <w:bCs/>
          <w:sz w:val="30"/>
          <w:szCs w:val="30"/>
          <w:lang w:val="en-US" w:eastAsia="zh-CN"/>
        </w:rPr>
        <w:t>地表水环境影响专项评价</w:t>
      </w:r>
    </w:p>
    <w:p>
      <w:pPr>
        <w:rPr>
          <w:rFonts w:hint="eastAsia" w:asciiTheme="minorEastAsia" w:hAnsiTheme="minorEastAsia" w:eastAsiaTheme="minorEastAsia" w:cstheme="minorEastAsia"/>
          <w:sz w:val="30"/>
          <w:szCs w:val="30"/>
        </w:rPr>
      </w:pPr>
    </w:p>
    <w:p>
      <w:pPr>
        <w:rPr>
          <w:rFonts w:hint="eastAsia" w:asciiTheme="minorEastAsia" w:hAnsiTheme="minorEastAsia" w:eastAsiaTheme="minorEastAsia" w:cstheme="minorEastAsia"/>
          <w:sz w:val="30"/>
          <w:szCs w:val="30"/>
        </w:rPr>
      </w:pPr>
    </w:p>
    <w:p>
      <w:pPr>
        <w:rPr>
          <w:rFonts w:hint="eastAsia" w:asciiTheme="minorEastAsia" w:hAnsiTheme="minorEastAsia" w:eastAsiaTheme="minorEastAsia" w:cstheme="minorEastAsia"/>
          <w:sz w:val="30"/>
          <w:szCs w:val="30"/>
        </w:rPr>
      </w:pPr>
    </w:p>
    <w:p>
      <w:pPr>
        <w:rPr>
          <w:rFonts w:hint="eastAsia" w:asciiTheme="minorEastAsia" w:hAnsiTheme="minorEastAsia" w:eastAsiaTheme="minorEastAsia" w:cstheme="minorEastAsia"/>
          <w:sz w:val="30"/>
          <w:szCs w:val="30"/>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jc w:val="center"/>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2021年</w:t>
      </w:r>
      <w:r>
        <w:rPr>
          <w:rFonts w:hint="eastAsia" w:asciiTheme="minorEastAsia" w:hAnsiTheme="minorEastAsia" w:cstheme="minorEastAsia"/>
          <w:sz w:val="28"/>
          <w:szCs w:val="28"/>
          <w:lang w:val="en-US" w:eastAsia="zh-CN"/>
        </w:rPr>
        <w:t>7</w:t>
      </w:r>
      <w:r>
        <w:rPr>
          <w:rFonts w:hint="eastAsia" w:asciiTheme="minorEastAsia" w:hAnsiTheme="minorEastAsia" w:eastAsiaTheme="minorEastAsia" w:cstheme="minorEastAsia"/>
          <w:sz w:val="28"/>
          <w:szCs w:val="28"/>
          <w:lang w:val="en-US" w:eastAsia="zh-CN"/>
        </w:rPr>
        <w:t>月</w:t>
      </w: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1. 项目基本情况</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eastAsia="宋体" w:asciiTheme="minorEastAsia" w:hAnsiTheme="minorEastAsia" w:cstheme="minorEastAsia"/>
          <w:sz w:val="24"/>
          <w:szCs w:val="24"/>
          <w:lang w:val="en-US" w:eastAsia="zh-CN"/>
        </w:rPr>
      </w:pPr>
      <w:r>
        <w:rPr>
          <w:rFonts w:ascii="Times New Roman" w:hAnsi="Times New Roman" w:eastAsia="宋体" w:cs="Times New Roman"/>
          <w:color w:val="000000"/>
          <w:kern w:val="0"/>
          <w:sz w:val="24"/>
          <w:szCs w:val="24"/>
          <w:lang w:bidi="zh-CN"/>
        </w:rPr>
        <w:t>山西省吕梁市柳林县穆村镇安沟村安沟股份经济合作社年产5000吨豆制品生产项目</w:t>
      </w:r>
      <w:r>
        <w:rPr>
          <w:rFonts w:hint="eastAsia" w:ascii="Times New Roman" w:hAnsi="Times New Roman" w:eastAsia="宋体" w:cs="Times New Roman"/>
          <w:color w:val="000000"/>
          <w:kern w:val="0"/>
          <w:sz w:val="24"/>
          <w:szCs w:val="24"/>
          <w:lang w:bidi="zh-CN"/>
        </w:rPr>
        <w:t>，</w:t>
      </w:r>
      <w:r>
        <w:rPr>
          <w:rFonts w:hint="eastAsia" w:ascii="Times New Roman" w:hAnsi="Times New Roman" w:eastAsia="宋体" w:cs="Times New Roman"/>
          <w:color w:val="000000"/>
          <w:kern w:val="0"/>
          <w:sz w:val="24"/>
          <w:szCs w:val="24"/>
          <w:lang w:val="en-US" w:bidi="zh-CN"/>
        </w:rPr>
        <w:t>位于</w:t>
      </w:r>
      <w:r>
        <w:rPr>
          <w:rFonts w:ascii="Times New Roman" w:hAnsi="Times New Roman" w:eastAsia="宋体" w:cs="Times New Roman"/>
          <w:color w:val="000000"/>
          <w:kern w:val="0"/>
          <w:sz w:val="24"/>
          <w:szCs w:val="24"/>
          <w:lang w:bidi="zh-CN"/>
        </w:rPr>
        <w:t>柳林县</w:t>
      </w:r>
      <w:r>
        <w:rPr>
          <w:rFonts w:hint="eastAsia" w:ascii="Times New Roman" w:hAnsi="Times New Roman" w:eastAsia="宋体" w:cs="Times New Roman"/>
          <w:color w:val="000000"/>
          <w:kern w:val="0"/>
          <w:sz w:val="24"/>
          <w:szCs w:val="24"/>
          <w:lang w:bidi="zh-CN"/>
        </w:rPr>
        <w:t>穆村</w:t>
      </w:r>
      <w:r>
        <w:rPr>
          <w:rFonts w:ascii="Times New Roman" w:hAnsi="Times New Roman" w:eastAsia="宋体" w:cs="Times New Roman"/>
          <w:color w:val="000000"/>
          <w:kern w:val="0"/>
          <w:sz w:val="24"/>
          <w:szCs w:val="24"/>
          <w:lang w:bidi="zh-CN"/>
        </w:rPr>
        <w:t>镇</w:t>
      </w:r>
      <w:r>
        <w:rPr>
          <w:rFonts w:hint="eastAsia" w:ascii="Times New Roman" w:hAnsi="Times New Roman" w:eastAsia="宋体" w:cs="Times New Roman"/>
          <w:color w:val="000000"/>
          <w:kern w:val="0"/>
          <w:sz w:val="24"/>
          <w:szCs w:val="24"/>
          <w:lang w:bidi="zh-CN"/>
        </w:rPr>
        <w:t>安沟村东</w:t>
      </w:r>
      <w:r>
        <w:rPr>
          <w:rFonts w:ascii="Times New Roman" w:hAnsi="Times New Roman" w:eastAsia="宋体" w:cs="Times New Roman"/>
          <w:color w:val="000000"/>
          <w:kern w:val="0"/>
          <w:sz w:val="24"/>
          <w:szCs w:val="24"/>
        </w:rPr>
        <w:t>南</w:t>
      </w:r>
      <w:r>
        <w:rPr>
          <w:rFonts w:hint="eastAsia" w:ascii="Times New Roman" w:hAnsi="Times New Roman" w:eastAsia="宋体" w:cs="Times New Roman"/>
          <w:color w:val="000000"/>
          <w:kern w:val="0"/>
          <w:sz w:val="24"/>
          <w:szCs w:val="24"/>
        </w:rPr>
        <w:t>4</w:t>
      </w:r>
      <w:r>
        <w:rPr>
          <w:rFonts w:ascii="Times New Roman" w:hAnsi="Times New Roman" w:eastAsia="宋体" w:cs="Times New Roman"/>
          <w:color w:val="000000"/>
          <w:kern w:val="0"/>
          <w:sz w:val="24"/>
          <w:szCs w:val="24"/>
        </w:rPr>
        <w:t>00m处</w:t>
      </w:r>
      <w:r>
        <w:rPr>
          <w:rFonts w:hint="eastAsia" w:ascii="Times New Roman" w:hAnsi="Times New Roman" w:eastAsia="宋体" w:cs="Times New Roman"/>
          <w:color w:val="000000"/>
          <w:kern w:val="0"/>
          <w:sz w:val="24"/>
          <w:szCs w:val="24"/>
          <w:lang w:eastAsia="zh-CN"/>
        </w:rPr>
        <w:t>。</w:t>
      </w:r>
      <w:r>
        <w:rPr>
          <w:rFonts w:hint="eastAsia" w:ascii="Times New Roman" w:hAnsi="Times New Roman" w:eastAsia="宋体" w:cs="Times New Roman"/>
          <w:color w:val="000000"/>
          <w:kern w:val="0"/>
          <w:sz w:val="24"/>
          <w:szCs w:val="24"/>
          <w:lang w:val="en-US" w:eastAsia="zh-CN"/>
        </w:rPr>
        <w:t>项目总投资3000万元，其中环保投资为550万元。柳林县行政审批服务管理局于2021年2月4日对本项目予以备案，项目备案文号：2102-141125-89-01-645383。</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rPr>
      </w:pPr>
      <w:r>
        <w:rPr>
          <w:rFonts w:ascii="Times New Roman" w:hAnsi="Times New Roman" w:eastAsia="宋体" w:cs="Times New Roman"/>
          <w:sz w:val="24"/>
          <w:szCs w:val="24"/>
        </w:rPr>
        <w:t>根据《建设项目环境影响评价分类管理名录（2021年版）》（生态环境部令第16号），本项目为腐竹生产项目，属于“十、农副食品加工业  20其他农副食品加工”项目类别中“豆制品制造”</w:t>
      </w:r>
      <w:r>
        <w:rPr>
          <w:rFonts w:ascii="Times New Roman" w:hAnsi="Times New Roman" w:eastAsia="宋体" w:cs="Times New Roman"/>
          <w:color w:val="000000"/>
          <w:sz w:val="24"/>
          <w:szCs w:val="24"/>
        </w:rPr>
        <w:t>，应编制环境影响报告表。</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2.评价等级及范围</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2.1 评价等级</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1</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评价等级划分依据</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根据《环境影响评价技术导则·地表水环境》（HJ2.3-2018），地表水环境影响评价工作级别的划分的依据，见表</w:t>
      </w:r>
      <w:r>
        <w:rPr>
          <w:rFonts w:hint="eastAsia" w:asciiTheme="minorEastAsia" w:hAnsiTheme="minorEastAsia" w:cstheme="minorEastAsia"/>
          <w:sz w:val="24"/>
          <w:szCs w:val="24"/>
          <w:lang w:val="en-US" w:eastAsia="zh-CN"/>
        </w:rPr>
        <w:t>2.1-1</w:t>
      </w:r>
      <w:r>
        <w:rPr>
          <w:rFonts w:hint="eastAsia" w:asciiTheme="minorEastAsia" w:hAnsiTheme="minorEastAsia" w:eastAsiaTheme="minorEastAsia" w:cstheme="minorEastAsia"/>
          <w:sz w:val="24"/>
          <w:szCs w:val="24"/>
        </w:rPr>
        <w:t>。</w:t>
      </w:r>
    </w:p>
    <w:p>
      <w:pPr>
        <w:adjustRightInd w:val="0"/>
        <w:snapToGrid w:val="0"/>
        <w:spacing w:line="500" w:lineRule="exact"/>
        <w:jc w:val="center"/>
        <w:rPr>
          <w:rFonts w:hint="eastAsia" w:asciiTheme="minorEastAsia" w:hAnsiTheme="minorEastAsia" w:eastAsiaTheme="minorEastAsia" w:cstheme="minorEastAsia"/>
          <w:b/>
          <w:spacing w:val="4"/>
          <w:sz w:val="21"/>
          <w:szCs w:val="21"/>
        </w:rPr>
      </w:pPr>
      <w:r>
        <w:rPr>
          <w:rFonts w:hint="eastAsia" w:asciiTheme="minorEastAsia" w:hAnsiTheme="minorEastAsia" w:eastAsiaTheme="minorEastAsia" w:cstheme="minorEastAsia"/>
          <w:b/>
          <w:spacing w:val="4"/>
          <w:sz w:val="21"/>
          <w:szCs w:val="21"/>
        </w:rPr>
        <w:t>表2</w:t>
      </w:r>
      <w:r>
        <w:rPr>
          <w:rFonts w:hint="eastAsia" w:asciiTheme="minorEastAsia" w:hAnsiTheme="minorEastAsia" w:cstheme="minorEastAsia"/>
          <w:b/>
          <w:spacing w:val="4"/>
          <w:sz w:val="21"/>
          <w:szCs w:val="21"/>
          <w:lang w:val="en-US" w:eastAsia="zh-CN"/>
        </w:rPr>
        <w:t>.1-1</w:t>
      </w:r>
      <w:r>
        <w:rPr>
          <w:rFonts w:hint="eastAsia" w:asciiTheme="minorEastAsia" w:hAnsiTheme="minorEastAsia" w:eastAsiaTheme="minorEastAsia" w:cstheme="minorEastAsia"/>
          <w:b/>
          <w:spacing w:val="4"/>
          <w:sz w:val="21"/>
          <w:szCs w:val="21"/>
        </w:rPr>
        <w:t xml:space="preserve"> 地表水评价等级划分依据</w:t>
      </w:r>
    </w:p>
    <w:tbl>
      <w:tblPr>
        <w:tblStyle w:val="21"/>
        <w:tblW w:w="928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2524"/>
        <w:gridCol w:w="36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vMerge w:val="restart"/>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评价等级</w:t>
            </w:r>
          </w:p>
        </w:tc>
        <w:tc>
          <w:tcPr>
            <w:tcW w:w="6191" w:type="dxa"/>
            <w:gridSpan w:val="2"/>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判定依据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vMerge w:val="continue"/>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p>
        </w:tc>
        <w:tc>
          <w:tcPr>
            <w:tcW w:w="2524"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排放方式</w:t>
            </w:r>
          </w:p>
        </w:tc>
        <w:tc>
          <w:tcPr>
            <w:tcW w:w="3667"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废水排放量Q/（m</w:t>
            </w:r>
            <w:r>
              <w:rPr>
                <w:rFonts w:hint="eastAsia" w:asciiTheme="minorEastAsia" w:hAnsiTheme="minorEastAsia" w:eastAsiaTheme="minorEastAsia" w:cstheme="minorEastAsia"/>
                <w:spacing w:val="4"/>
                <w:sz w:val="21"/>
                <w:szCs w:val="21"/>
                <w:vertAlign w:val="superscript"/>
              </w:rPr>
              <w:t>3</w:t>
            </w:r>
            <w:r>
              <w:rPr>
                <w:rFonts w:hint="eastAsia" w:asciiTheme="minorEastAsia" w:hAnsiTheme="minorEastAsia" w:eastAsiaTheme="minorEastAsia" w:cstheme="minorEastAsia"/>
                <w:spacing w:val="4"/>
                <w:sz w:val="21"/>
                <w:szCs w:val="21"/>
              </w:rPr>
              <w:t>/d）；</w:t>
            </w:r>
          </w:p>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水污染物当量数W/（无量纲）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一级</w:t>
            </w:r>
          </w:p>
        </w:tc>
        <w:tc>
          <w:tcPr>
            <w:tcW w:w="2524"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直接排放</w:t>
            </w:r>
          </w:p>
        </w:tc>
        <w:tc>
          <w:tcPr>
            <w:tcW w:w="3667"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Q≥20000或W≥600000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二级</w:t>
            </w:r>
          </w:p>
        </w:tc>
        <w:tc>
          <w:tcPr>
            <w:tcW w:w="2524"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直接排放</w:t>
            </w:r>
          </w:p>
        </w:tc>
        <w:tc>
          <w:tcPr>
            <w:tcW w:w="3667"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三级A</w:t>
            </w:r>
          </w:p>
        </w:tc>
        <w:tc>
          <w:tcPr>
            <w:tcW w:w="2524"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直接排放</w:t>
            </w:r>
          </w:p>
        </w:tc>
        <w:tc>
          <w:tcPr>
            <w:tcW w:w="3667"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Q&lt;200且W&lt;6000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3095"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三级B</w:t>
            </w:r>
          </w:p>
        </w:tc>
        <w:tc>
          <w:tcPr>
            <w:tcW w:w="2524"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间接排放</w:t>
            </w:r>
          </w:p>
        </w:tc>
        <w:tc>
          <w:tcPr>
            <w:tcW w:w="3667" w:type="dxa"/>
            <w:noWrap w:val="0"/>
            <w:vAlign w:val="center"/>
          </w:tcPr>
          <w:p>
            <w:pPr>
              <w:adjustRightInd w:val="0"/>
              <w:snapToGrid w:val="0"/>
              <w:jc w:val="center"/>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2</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评价等级确定</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本项目建成后产生的废水主要为生产废水和生活污水。</w:t>
      </w:r>
      <w:r>
        <w:rPr>
          <w:rFonts w:hint="eastAsia" w:asciiTheme="minorEastAsia" w:hAnsiTheme="minorEastAsia" w:cstheme="minorEastAsia"/>
          <w:sz w:val="24"/>
          <w:szCs w:val="24"/>
          <w:lang w:val="en-US" w:eastAsia="zh-CN"/>
        </w:rPr>
        <w:t>生产废水和生活污水，均进入企业自建的污水处理站进行预处理后，由管道输送至柳林县污水处理厂进行处理，属于间接排放。废水产生量为69.98m</w:t>
      </w:r>
      <w:r>
        <w:rPr>
          <w:rFonts w:hint="eastAsia" w:asciiTheme="minorEastAsia" w:hAnsiTheme="minorEastAsia" w:cstheme="minorEastAsia"/>
          <w:sz w:val="24"/>
          <w:szCs w:val="24"/>
          <w:vertAlign w:val="superscript"/>
          <w:lang w:val="en-US" w:eastAsia="zh-CN"/>
        </w:rPr>
        <w:t>3</w:t>
      </w:r>
      <w:r>
        <w:rPr>
          <w:rFonts w:hint="eastAsia" w:asciiTheme="minorEastAsia" w:hAnsiTheme="minorEastAsia" w:cstheme="minorEastAsia"/>
          <w:sz w:val="24"/>
          <w:szCs w:val="24"/>
          <w:lang w:val="en-US" w:eastAsia="zh-CN"/>
        </w:rPr>
        <w:t>/d。</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val="en-US" w:eastAsia="zh-CN"/>
        </w:rPr>
        <w:t>因此，</w:t>
      </w:r>
      <w:r>
        <w:rPr>
          <w:rFonts w:hint="eastAsia" w:asciiTheme="minorEastAsia" w:hAnsiTheme="minorEastAsia" w:eastAsiaTheme="minorEastAsia" w:cstheme="minorEastAsia"/>
          <w:sz w:val="24"/>
          <w:szCs w:val="24"/>
        </w:rPr>
        <w:t>根据《环境影响评价技术导则·地表水环境》（HJ2.3-2018），地表水环境影响评价工作级别的划分的依据，本项目废水</w:t>
      </w:r>
      <w:r>
        <w:rPr>
          <w:rFonts w:hint="eastAsia" w:asciiTheme="minorEastAsia" w:hAnsiTheme="minorEastAsia" w:cstheme="minorEastAsia"/>
          <w:sz w:val="24"/>
          <w:szCs w:val="24"/>
          <w:lang w:val="en-US" w:eastAsia="zh-CN"/>
        </w:rPr>
        <w:t>属于间接排放</w:t>
      </w:r>
      <w:r>
        <w:rPr>
          <w:rFonts w:hint="eastAsia" w:asciiTheme="minorEastAsia" w:hAnsiTheme="minorEastAsia" w:eastAsiaTheme="minorEastAsia" w:cstheme="minorEastAsia"/>
          <w:sz w:val="24"/>
          <w:szCs w:val="24"/>
        </w:rPr>
        <w:t>。确定地表水评价等级为三级B。</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2.2 评价范围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eastAsiaTheme="minorEastAsia" w:cstheme="minorEastAsia"/>
          <w:sz w:val="24"/>
          <w:szCs w:val="24"/>
          <w:lang w:val="en-US"/>
        </w:rPr>
      </w:pPr>
      <w:r>
        <w:rPr>
          <w:rFonts w:hint="eastAsia" w:asciiTheme="minorEastAsia" w:hAnsiTheme="minorEastAsia" w:eastAsiaTheme="minorEastAsia" w:cstheme="minorEastAsia"/>
          <w:sz w:val="24"/>
          <w:szCs w:val="24"/>
        </w:rPr>
        <w:t>本项目建成后产生的废水主要为生产废水和生活污水。</w:t>
      </w:r>
      <w:r>
        <w:rPr>
          <w:rFonts w:hint="eastAsia" w:asciiTheme="minorEastAsia" w:hAnsiTheme="minorEastAsia" w:cstheme="minorEastAsia"/>
          <w:sz w:val="24"/>
          <w:szCs w:val="24"/>
          <w:lang w:val="en-US" w:eastAsia="zh-CN"/>
        </w:rPr>
        <w:t>生产废水和生活污水，均进入企业自建的污水处理站进行预处理后，由管道输送至柳林县污水处理厂进行处理。本次评价范围为分析场内自建污水处理站工艺的可行性，以及处理后污水排入柳林县污水处理厂的保证性。</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3.水环境保护目标</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本项目所在地地表水水体为西北侧约680m处的三川河，根据“2021年2月山西省地表水环境质量报告”可知，该河段水质满足《地表水环境质量标准》（GB3838-2002）中Ⅴ类标准。</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4.评价标准</w:t>
      </w:r>
    </w:p>
    <w:p>
      <w:pPr>
        <w:widowControl/>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lang w:val="zh-CN"/>
        </w:rPr>
        <w:t>本项目</w:t>
      </w:r>
      <w:r>
        <w:rPr>
          <w:rFonts w:ascii="Times New Roman" w:hAnsi="Times New Roman" w:eastAsia="宋体" w:cs="Times New Roman"/>
          <w:sz w:val="24"/>
          <w:szCs w:val="24"/>
        </w:rPr>
        <w:t>生活污水（其中食堂废水经隔油器处理）及生产废水经车间内废水管道进入厂区废水处理站预处理，处理后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最终至柳林县污水处理厂，污水排放执行《污水排入城镇下水道水质标准》（GB/T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 xml:space="preserve">等级标准。 </w:t>
      </w:r>
    </w:p>
    <w:p>
      <w:pPr>
        <w:widowControl/>
        <w:spacing w:line="480" w:lineRule="exact"/>
        <w:ind w:firstLine="422" w:firstLineChars="200"/>
        <w:jc w:val="center"/>
        <w:rPr>
          <w:rFonts w:ascii="Times New Roman" w:hAnsi="Times New Roman" w:eastAsia="宋体" w:cs="Times New Roman"/>
          <w:b/>
          <w:bCs/>
          <w:szCs w:val="24"/>
        </w:rPr>
      </w:pPr>
      <w:r>
        <w:rPr>
          <w:rFonts w:ascii="Times New Roman" w:hAnsi="Times New Roman" w:eastAsia="宋体" w:cs="Times New Roman"/>
          <w:b/>
          <w:bCs/>
          <w:szCs w:val="24"/>
        </w:rPr>
        <w:t>表</w:t>
      </w:r>
      <w:r>
        <w:rPr>
          <w:rFonts w:hint="eastAsia" w:ascii="Times New Roman" w:hAnsi="Times New Roman" w:eastAsia="宋体" w:cs="Times New Roman"/>
          <w:b/>
          <w:bCs/>
          <w:szCs w:val="24"/>
          <w:lang w:val="en-US" w:eastAsia="zh-CN"/>
        </w:rPr>
        <w:t>4.1-1</w:t>
      </w:r>
      <w:r>
        <w:rPr>
          <w:rFonts w:ascii="Times New Roman" w:hAnsi="Times New Roman" w:eastAsia="宋体" w:cs="Times New Roman"/>
          <w:b/>
          <w:bCs/>
          <w:szCs w:val="24"/>
        </w:rPr>
        <w:t xml:space="preserve"> 《污水排入城镇下水道水质标准》表1中A级标准</w:t>
      </w:r>
    </w:p>
    <w:tbl>
      <w:tblPr>
        <w:tblStyle w:val="21"/>
        <w:tblW w:w="928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32"/>
        <w:gridCol w:w="2431"/>
        <w:gridCol w:w="2426"/>
        <w:gridCol w:w="19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序号</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污染名称</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标准值</w:t>
            </w:r>
          </w:p>
        </w:tc>
        <w:tc>
          <w:tcPr>
            <w:tcW w:w="1997"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1</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pH</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6.5~9.5</w:t>
            </w:r>
          </w:p>
        </w:tc>
        <w:tc>
          <w:tcPr>
            <w:tcW w:w="1997"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SS</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400</w:t>
            </w:r>
          </w:p>
        </w:tc>
        <w:tc>
          <w:tcPr>
            <w:tcW w:w="1997" w:type="dxa"/>
            <w:vMerge w:val="restart"/>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BOD</w:t>
            </w:r>
            <w:r>
              <w:rPr>
                <w:rFonts w:ascii="Times New Roman" w:hAnsi="Times New Roman" w:eastAsia="宋体" w:cs="Times New Roman"/>
                <w:szCs w:val="24"/>
                <w:vertAlign w:val="subscript"/>
              </w:rPr>
              <w:t>5</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350</w:t>
            </w:r>
          </w:p>
        </w:tc>
        <w:tc>
          <w:tcPr>
            <w:tcW w:w="1997" w:type="dxa"/>
            <w:vMerge w:val="continue"/>
            <w:tcBorders>
              <w:tl2br w:val="nil"/>
              <w:tr2bl w:val="nil"/>
            </w:tcBorders>
            <w:vAlign w:val="center"/>
          </w:tcPr>
          <w:p>
            <w:pPr>
              <w:widowControl/>
              <w:spacing w:line="240" w:lineRule="atLeast"/>
              <w:jc w:val="center"/>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4</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COD</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500</w:t>
            </w:r>
          </w:p>
        </w:tc>
        <w:tc>
          <w:tcPr>
            <w:tcW w:w="1997" w:type="dxa"/>
            <w:vMerge w:val="continue"/>
            <w:tcBorders>
              <w:tl2br w:val="nil"/>
              <w:tr2bl w:val="nil"/>
            </w:tcBorders>
            <w:vAlign w:val="center"/>
          </w:tcPr>
          <w:p>
            <w:pPr>
              <w:widowControl/>
              <w:spacing w:line="240" w:lineRule="atLeast"/>
              <w:jc w:val="center"/>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石油类</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20</w:t>
            </w:r>
          </w:p>
        </w:tc>
        <w:tc>
          <w:tcPr>
            <w:tcW w:w="1997" w:type="dxa"/>
            <w:vMerge w:val="continue"/>
            <w:tcBorders>
              <w:tl2br w:val="nil"/>
              <w:tr2bl w:val="nil"/>
            </w:tcBorders>
            <w:vAlign w:val="center"/>
          </w:tcPr>
          <w:p>
            <w:pPr>
              <w:widowControl/>
              <w:spacing w:line="240" w:lineRule="atLeast"/>
              <w:jc w:val="center"/>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2432"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6</w:t>
            </w:r>
          </w:p>
        </w:tc>
        <w:tc>
          <w:tcPr>
            <w:tcW w:w="2431"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色度</w:t>
            </w:r>
          </w:p>
        </w:tc>
        <w:tc>
          <w:tcPr>
            <w:tcW w:w="2426"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50</w:t>
            </w:r>
          </w:p>
        </w:tc>
        <w:tc>
          <w:tcPr>
            <w:tcW w:w="1997" w:type="dxa"/>
            <w:tcBorders>
              <w:tl2br w:val="nil"/>
              <w:tr2bl w:val="nil"/>
            </w:tcBorders>
            <w:vAlign w:val="center"/>
          </w:tcPr>
          <w:p>
            <w:pPr>
              <w:widowControl/>
              <w:spacing w:line="240" w:lineRule="atLeast"/>
              <w:jc w:val="center"/>
              <w:rPr>
                <w:rFonts w:ascii="Times New Roman" w:hAnsi="Times New Roman" w:eastAsia="宋体" w:cs="Times New Roman"/>
                <w:szCs w:val="24"/>
              </w:rPr>
            </w:pPr>
            <w:r>
              <w:rPr>
                <w:rFonts w:ascii="Times New Roman" w:hAnsi="Times New Roman" w:eastAsia="宋体" w:cs="Times New Roman"/>
                <w:szCs w:val="24"/>
              </w:rPr>
              <w:t>/</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5.水环境现状调查</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本项目所在地地表水水体为西北侧约680m处的三川河，根据《山西省地表水环境功能区划》（DB14/67-2019）表1“山西省各河段水环境功能区划结果表”可知，该河段属于“黄河、吴堡-龙门区、黄河干流（西南部）、三川河、薛村——入黄河”段，水环境功能为农业用水保护，水质要求为Ⅴ类，执行《地表水环境质量标准》（GB3838-2002）中Ⅴ类标准。根据“2021年2月山西省地表水环境质量报告”（来源：https://sthjt.shanxi.gov.cn/html/dbsszyb/20210330/106617.html）可知，该河段位于三川河寨东桥（柳林县）监控断面和三川河两河口桥（柳林县）监控断面之间，三川河寨东桥（柳林县）监控断面当月水质为III类、三川河两河口桥（柳林县）监控断面当月水质为III类，满足《地表水环境质量标准》（GB3838-2002）中Ⅴ类标准。</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6.</w:t>
      </w:r>
      <w:r>
        <w:rPr>
          <w:rFonts w:hint="eastAsia" w:asciiTheme="minorEastAsia" w:hAnsiTheme="minorEastAsia" w:cstheme="minorEastAsia"/>
          <w:b/>
          <w:bCs/>
          <w:sz w:val="28"/>
          <w:szCs w:val="28"/>
          <w:lang w:val="en-US" w:eastAsia="zh-CN"/>
        </w:rPr>
        <w:t>水环境</w:t>
      </w:r>
      <w:r>
        <w:rPr>
          <w:rFonts w:hint="eastAsia" w:asciiTheme="minorEastAsia" w:hAnsiTheme="minorEastAsia" w:eastAsiaTheme="minorEastAsia" w:cstheme="minorEastAsia"/>
          <w:b/>
          <w:bCs/>
          <w:sz w:val="28"/>
          <w:szCs w:val="28"/>
          <w:lang w:val="en-US" w:eastAsia="zh-CN"/>
        </w:rPr>
        <w:t>影响</w:t>
      </w:r>
      <w:r>
        <w:rPr>
          <w:rFonts w:hint="eastAsia" w:asciiTheme="minorEastAsia" w:hAnsiTheme="minorEastAsia" w:cstheme="minorEastAsia"/>
          <w:b/>
          <w:bCs/>
          <w:sz w:val="28"/>
          <w:szCs w:val="28"/>
          <w:lang w:val="en-US" w:eastAsia="zh-CN"/>
        </w:rPr>
        <w:t>评价</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6.1 施工期水环境影响评价</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施工期废水包括生产废水和生活废水两部分。</w:t>
      </w:r>
    </w:p>
    <w:p>
      <w:pPr>
        <w:autoSpaceDE w:val="0"/>
        <w:autoSpaceDN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施工期生产废水为施工作业废水，包括地面洒水及设备清洗废水等，量少，可直接泼洒，增湿抑尘。生活污水主要来自施工人员生活洗涤、清洁卫生等过程。项目施工场地设有旱厕，施工人员的洗漱废水量少，亦可以直接泼洒，用于场地增湿抑尘。严禁施工废水排入三川河。</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ascii="Times New Roman" w:hAnsi="Times New Roman" w:eastAsia="宋体" w:cs="Times New Roman"/>
          <w:sz w:val="24"/>
          <w:szCs w:val="24"/>
        </w:rPr>
        <w:t>由上述分析可知，施工期间产生的生产废水及生活污水不会对周围水环境造成负面影响。</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6.2 运营期水环境影响评价</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ascii="Times New Roman" w:hAnsi="Times New Roman" w:eastAsia="宋体" w:cs="Times New Roman"/>
          <w:sz w:val="24"/>
          <w:szCs w:val="24"/>
        </w:rPr>
      </w:pP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1</w:t>
      </w:r>
      <w:r>
        <w:rPr>
          <w:rFonts w:hint="eastAsia" w:asciiTheme="minorEastAsia" w:hAnsiTheme="minorEastAsia" w:cstheme="minorEastAsia"/>
          <w:sz w:val="24"/>
          <w:szCs w:val="24"/>
          <w:lang w:eastAsia="zh-CN"/>
        </w:rPr>
        <w:t>）</w:t>
      </w:r>
      <w:r>
        <w:rPr>
          <w:rFonts w:ascii="Times New Roman" w:hAnsi="Times New Roman" w:eastAsia="宋体" w:cs="Times New Roman"/>
          <w:sz w:val="24"/>
          <w:szCs w:val="24"/>
        </w:rPr>
        <w:t>主要污染物产生及预计排放情况</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本项目运营期间废水主要为生产废水和生活污水，生产废水为地面冲洗水、设备清洗水等，产生量为69.98m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/d，主要污染物为COD、SS、BOD</w:t>
      </w:r>
      <w:r>
        <w:rPr>
          <w:rFonts w:hint="eastAsia" w:ascii="Times New Roman" w:hAnsi="Times New Roman" w:eastAsia="宋体" w:cs="Times New Roman"/>
          <w:sz w:val="24"/>
          <w:szCs w:val="24"/>
          <w:vertAlign w:val="subscript"/>
          <w:lang w:val="en-US" w:eastAsia="zh-CN"/>
        </w:rPr>
        <w:t>5</w:t>
      </w:r>
      <w:r>
        <w:rPr>
          <w:rFonts w:hint="eastAsia" w:ascii="Times New Roman" w:hAnsi="Times New Roman" w:eastAsia="宋体" w:cs="Times New Roman"/>
          <w:sz w:val="24"/>
          <w:szCs w:val="24"/>
          <w:lang w:val="en-US" w:eastAsia="zh-CN"/>
        </w:rPr>
        <w:t>、NH</w:t>
      </w:r>
      <w:r>
        <w:rPr>
          <w:rFonts w:hint="eastAsia" w:ascii="Times New Roman" w:hAnsi="Times New Roman" w:eastAsia="宋体" w:cs="Times New Roman"/>
          <w:sz w:val="24"/>
          <w:szCs w:val="24"/>
          <w:vertAlign w:val="subscript"/>
          <w:lang w:val="en-US" w:eastAsia="zh-CN"/>
        </w:rPr>
        <w:t>3</w:t>
      </w:r>
      <w:r>
        <w:rPr>
          <w:rFonts w:hint="eastAsia" w:ascii="Times New Roman" w:hAnsi="Times New Roman" w:eastAsia="宋体" w:cs="Times New Roman"/>
          <w:sz w:val="24"/>
          <w:szCs w:val="24"/>
          <w:lang w:val="en-US" w:eastAsia="zh-CN"/>
        </w:rPr>
        <w:t>-N等</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废水基本情况，见表6.2-1。</w:t>
      </w:r>
    </w:p>
    <w:p>
      <w:pPr>
        <w:widowControl/>
        <w:spacing w:line="480" w:lineRule="exact"/>
        <w:ind w:firstLine="422" w:firstLineChars="200"/>
        <w:jc w:val="center"/>
        <w:rPr>
          <w:rFonts w:hint="eastAsia" w:ascii="Times New Roman" w:hAnsi="Times New Roman" w:eastAsia="宋体" w:cs="Times New Roman"/>
          <w:b/>
          <w:bCs/>
          <w:szCs w:val="24"/>
          <w:lang w:eastAsia="zh-CN"/>
        </w:rPr>
      </w:pPr>
      <w:r>
        <w:rPr>
          <w:rFonts w:hint="eastAsia" w:ascii="Times New Roman" w:hAnsi="Times New Roman" w:eastAsia="宋体" w:cs="Times New Roman"/>
          <w:b/>
          <w:bCs/>
          <w:szCs w:val="24"/>
          <w:lang w:val="en-US" w:eastAsia="zh-CN"/>
        </w:rPr>
        <w:t xml:space="preserve">表6.2-1 </w:t>
      </w:r>
      <w:r>
        <w:rPr>
          <w:rFonts w:ascii="Times New Roman" w:hAnsi="Times New Roman" w:eastAsia="宋体" w:cs="Times New Roman"/>
          <w:b/>
          <w:bCs/>
          <w:szCs w:val="24"/>
        </w:rPr>
        <w:t>主要污染物产生及预计排放情况一览表</w:t>
      </w:r>
    </w:p>
    <w:tbl>
      <w:tblPr>
        <w:tblStyle w:val="21"/>
        <w:tblW w:w="9581"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636"/>
        <w:gridCol w:w="426"/>
        <w:gridCol w:w="689"/>
        <w:gridCol w:w="730"/>
        <w:gridCol w:w="671"/>
        <w:gridCol w:w="804"/>
        <w:gridCol w:w="426"/>
        <w:gridCol w:w="529"/>
        <w:gridCol w:w="924"/>
        <w:gridCol w:w="618"/>
        <w:gridCol w:w="426"/>
        <w:gridCol w:w="601"/>
        <w:gridCol w:w="671"/>
        <w:gridCol w:w="578"/>
        <w:gridCol w:w="4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100" w:hRule="atLeast"/>
          <w:jc w:val="center"/>
        </w:trPr>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序号</w:t>
            </w:r>
          </w:p>
        </w:tc>
        <w:tc>
          <w:tcPr>
            <w:tcW w:w="63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产排污环节</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废水类别</w:t>
            </w:r>
          </w:p>
        </w:tc>
        <w:tc>
          <w:tcPr>
            <w:tcW w:w="689"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废水产生量</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r>
              <w:rPr>
                <w:rFonts w:hint="eastAsia" w:ascii="Times New Roman" w:hAnsi="Times New Roman" w:eastAsia="宋体" w:cs="Times New Roman"/>
                <w:sz w:val="21"/>
                <w:szCs w:val="21"/>
              </w:rPr>
              <w:t>d</w:t>
            </w:r>
          </w:p>
        </w:tc>
        <w:tc>
          <w:tcPr>
            <w:tcW w:w="730"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污染物种类</w:t>
            </w:r>
          </w:p>
        </w:tc>
        <w:tc>
          <w:tcPr>
            <w:tcW w:w="1475" w:type="dxa"/>
            <w:gridSpan w:val="2"/>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污染物产生浓度和产生量</w:t>
            </w:r>
          </w:p>
        </w:tc>
        <w:tc>
          <w:tcPr>
            <w:tcW w:w="2923" w:type="dxa"/>
            <w:gridSpan w:val="5"/>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污染治理设施</w:t>
            </w:r>
          </w:p>
        </w:tc>
        <w:tc>
          <w:tcPr>
            <w:tcW w:w="601"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废水排放量</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/a</w:t>
            </w:r>
          </w:p>
        </w:tc>
        <w:tc>
          <w:tcPr>
            <w:tcW w:w="1249" w:type="dxa"/>
            <w:gridSpan w:val="2"/>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污染物排放浓度和排放量</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排放方式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35" w:hRule="atLeast"/>
          <w:jc w:val="center"/>
        </w:trPr>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3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8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730"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产生浓度</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mg/L</w:t>
            </w:r>
          </w:p>
        </w:tc>
        <w:tc>
          <w:tcPr>
            <w:tcW w:w="804"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产生量</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kg/a</w:t>
            </w:r>
          </w:p>
        </w:tc>
        <w:tc>
          <w:tcPr>
            <w:tcW w:w="426"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名称</w:t>
            </w:r>
          </w:p>
        </w:tc>
        <w:tc>
          <w:tcPr>
            <w:tcW w:w="529"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处理工艺</w:t>
            </w:r>
          </w:p>
        </w:tc>
        <w:tc>
          <w:tcPr>
            <w:tcW w:w="924"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处理能力</w:t>
            </w:r>
          </w:p>
        </w:tc>
        <w:tc>
          <w:tcPr>
            <w:tcW w:w="61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处理效率</w:t>
            </w:r>
          </w:p>
        </w:tc>
        <w:tc>
          <w:tcPr>
            <w:tcW w:w="426"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是否为可行技术</w:t>
            </w:r>
          </w:p>
        </w:tc>
        <w:tc>
          <w:tcPr>
            <w:tcW w:w="601"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排放浓度</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mg/L</w:t>
            </w:r>
          </w:p>
        </w:tc>
        <w:tc>
          <w:tcPr>
            <w:tcW w:w="57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排放量</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kg/a</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5" w:hRule="atLeast"/>
          <w:jc w:val="center"/>
        </w:trPr>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63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职工办公生活</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生活污水</w:t>
            </w:r>
          </w:p>
        </w:tc>
        <w:tc>
          <w:tcPr>
            <w:tcW w:w="689"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10.8</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59.18</w:t>
            </w:r>
          </w:p>
        </w:tc>
        <w:tc>
          <w:tcPr>
            <w:tcW w:w="730"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cs="Times New Roman"/>
                <w:sz w:val="21"/>
                <w:szCs w:val="21"/>
              </w:rPr>
              <w:t>800</w:t>
            </w:r>
          </w:p>
        </w:tc>
        <w:tc>
          <w:tcPr>
            <w:tcW w:w="804" w:type="dxa"/>
            <w:tcBorders>
              <w:tl2br w:val="nil"/>
              <w:tr2bl w:val="nil"/>
            </w:tcBorders>
            <w:vAlign w:val="center"/>
          </w:tcPr>
          <w:p>
            <w:pPr>
              <w:widowControl/>
              <w:jc w:val="right"/>
              <w:rPr>
                <w:rFonts w:ascii="Times New Roman" w:hAnsi="Times New Roman" w:cs="Times New Roman"/>
                <w:color w:val="000000"/>
                <w:sz w:val="21"/>
                <w:szCs w:val="21"/>
              </w:rPr>
            </w:pPr>
            <w:r>
              <w:rPr>
                <w:rFonts w:ascii="Times New Roman" w:hAnsi="Times New Roman" w:cs="Times New Roman"/>
                <w:color w:val="000000"/>
                <w:sz w:val="21"/>
                <w:szCs w:val="21"/>
              </w:rPr>
              <w:t>55.98</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污水处理站</w:t>
            </w:r>
          </w:p>
        </w:tc>
        <w:tc>
          <w:tcPr>
            <w:tcW w:w="529"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PH调节+水解酸化池+接触氧化池+混凝沉淀</w:t>
            </w:r>
          </w:p>
        </w:tc>
        <w:tc>
          <w:tcPr>
            <w:tcW w:w="924"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80m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/d</w:t>
            </w:r>
          </w:p>
        </w:tc>
        <w:tc>
          <w:tcPr>
            <w:tcW w:w="61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80%</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是</w:t>
            </w:r>
          </w:p>
        </w:tc>
        <w:tc>
          <w:tcPr>
            <w:tcW w:w="601"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160</w:t>
            </w:r>
          </w:p>
        </w:tc>
        <w:tc>
          <w:tcPr>
            <w:tcW w:w="578"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不外排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5" w:hRule="atLeast"/>
          <w:jc w:val="center"/>
        </w:trPr>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3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8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730"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COD</w:t>
            </w:r>
          </w:p>
        </w:tc>
        <w:tc>
          <w:tcPr>
            <w:tcW w:w="671"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2100</w:t>
            </w:r>
          </w:p>
        </w:tc>
        <w:tc>
          <w:tcPr>
            <w:tcW w:w="804" w:type="dxa"/>
            <w:tcBorders>
              <w:tl2br w:val="nil"/>
              <w:tr2bl w:val="nil"/>
            </w:tcBorders>
            <w:vAlign w:val="center"/>
          </w:tcPr>
          <w:p>
            <w:pPr>
              <w:jc w:val="right"/>
              <w:rPr>
                <w:rFonts w:ascii="Times New Roman" w:hAnsi="Times New Roman" w:cs="Times New Roman"/>
                <w:color w:val="000000"/>
                <w:sz w:val="21"/>
                <w:szCs w:val="21"/>
              </w:rPr>
            </w:pPr>
            <w:r>
              <w:rPr>
                <w:rFonts w:ascii="Times New Roman" w:hAnsi="Times New Roman" w:cs="Times New Roman"/>
                <w:color w:val="000000"/>
                <w:sz w:val="21"/>
                <w:szCs w:val="21"/>
              </w:rPr>
              <w:t>146.96</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52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924"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1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80%</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01"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420</w:t>
            </w:r>
          </w:p>
        </w:tc>
        <w:tc>
          <w:tcPr>
            <w:tcW w:w="578"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5" w:hRule="atLeast"/>
          <w:jc w:val="center"/>
        </w:trPr>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63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清洗、浸泡、设备清洗、地面冲洗</w:t>
            </w:r>
          </w:p>
        </w:tc>
        <w:tc>
          <w:tcPr>
            <w:tcW w:w="426" w:type="dxa"/>
            <w:vMerge w:val="restart"/>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生产废水</w:t>
            </w:r>
          </w:p>
        </w:tc>
        <w:tc>
          <w:tcPr>
            <w:tcW w:w="68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730"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BOD</w:t>
            </w:r>
            <w:r>
              <w:rPr>
                <w:rFonts w:ascii="Times New Roman" w:hAnsi="Times New Roman" w:eastAsia="宋体" w:cs="Times New Roman"/>
                <w:sz w:val="21"/>
                <w:szCs w:val="21"/>
                <w:vertAlign w:val="subscript"/>
              </w:rPr>
              <w:t>5</w:t>
            </w:r>
          </w:p>
        </w:tc>
        <w:tc>
          <w:tcPr>
            <w:tcW w:w="671"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600</w:t>
            </w:r>
          </w:p>
        </w:tc>
        <w:tc>
          <w:tcPr>
            <w:tcW w:w="804" w:type="dxa"/>
            <w:tcBorders>
              <w:tl2br w:val="nil"/>
              <w:tr2bl w:val="nil"/>
            </w:tcBorders>
            <w:vAlign w:val="center"/>
          </w:tcPr>
          <w:p>
            <w:pPr>
              <w:jc w:val="right"/>
              <w:rPr>
                <w:rFonts w:ascii="Times New Roman" w:hAnsi="Times New Roman" w:cs="Times New Roman"/>
                <w:color w:val="000000"/>
                <w:sz w:val="21"/>
                <w:szCs w:val="21"/>
              </w:rPr>
            </w:pPr>
            <w:r>
              <w:rPr>
                <w:rFonts w:ascii="Times New Roman" w:hAnsi="Times New Roman" w:cs="Times New Roman"/>
                <w:color w:val="000000"/>
                <w:sz w:val="21"/>
                <w:szCs w:val="21"/>
              </w:rPr>
              <w:t>41.99</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52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924"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1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85%</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01"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90</w:t>
            </w:r>
          </w:p>
        </w:tc>
        <w:tc>
          <w:tcPr>
            <w:tcW w:w="578"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5" w:hRule="atLeast"/>
          <w:jc w:val="center"/>
        </w:trPr>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3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8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730"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bCs/>
                <w:sz w:val="21"/>
                <w:szCs w:val="21"/>
              </w:rPr>
              <w:t>NH</w:t>
            </w:r>
            <w:r>
              <w:rPr>
                <w:rFonts w:ascii="Times New Roman" w:hAnsi="Times New Roman" w:eastAsia="宋体" w:cs="Times New Roman"/>
                <w:bCs/>
                <w:sz w:val="21"/>
                <w:szCs w:val="21"/>
                <w:vertAlign w:val="subscript"/>
              </w:rPr>
              <w:t>3</w:t>
            </w:r>
            <w:r>
              <w:rPr>
                <w:rFonts w:ascii="Times New Roman" w:hAnsi="Times New Roman" w:eastAsia="宋体" w:cs="Times New Roman"/>
                <w:bCs/>
                <w:sz w:val="21"/>
                <w:szCs w:val="21"/>
              </w:rPr>
              <w:t>-N</w:t>
            </w:r>
          </w:p>
        </w:tc>
        <w:tc>
          <w:tcPr>
            <w:tcW w:w="671"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60</w:t>
            </w:r>
          </w:p>
        </w:tc>
        <w:tc>
          <w:tcPr>
            <w:tcW w:w="804" w:type="dxa"/>
            <w:tcBorders>
              <w:tl2br w:val="nil"/>
              <w:tr2bl w:val="nil"/>
            </w:tcBorders>
            <w:vAlign w:val="center"/>
          </w:tcPr>
          <w:p>
            <w:pPr>
              <w:ind w:right="220"/>
              <w:jc w:val="right"/>
              <w:rPr>
                <w:rFonts w:ascii="Times New Roman" w:hAnsi="Times New Roman" w:cs="Times New Roman"/>
                <w:color w:val="000000"/>
                <w:sz w:val="21"/>
                <w:szCs w:val="21"/>
              </w:rPr>
            </w:pPr>
            <w:r>
              <w:rPr>
                <w:rFonts w:ascii="Times New Roman" w:hAnsi="Times New Roman" w:cs="Times New Roman"/>
                <w:color w:val="000000"/>
                <w:sz w:val="21"/>
                <w:szCs w:val="21"/>
              </w:rPr>
              <w:t>4.20</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529"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924"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18"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50%</w:t>
            </w: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01"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671"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30</w:t>
            </w:r>
          </w:p>
        </w:tc>
        <w:tc>
          <w:tcPr>
            <w:tcW w:w="578" w:type="dxa"/>
            <w:vMerge w:val="continue"/>
            <w:tcBorders>
              <w:tl2br w:val="nil"/>
              <w:tr2bl w:val="nil"/>
            </w:tcBorders>
            <w:vAlign w:val="center"/>
          </w:tcPr>
          <w:p>
            <w:pPr>
              <w:jc w:val="center"/>
              <w:rPr>
                <w:rFonts w:ascii="Times New Roman" w:hAnsi="Times New Roman" w:eastAsia="宋体" w:cs="Times New Roman"/>
                <w:sz w:val="21"/>
                <w:szCs w:val="21"/>
              </w:rPr>
            </w:pPr>
          </w:p>
        </w:tc>
        <w:tc>
          <w:tcPr>
            <w:tcW w:w="426" w:type="dxa"/>
            <w:vMerge w:val="continue"/>
            <w:tcBorders>
              <w:tl2br w:val="nil"/>
              <w:tr2bl w:val="nil"/>
            </w:tcBorders>
            <w:vAlign w:val="center"/>
          </w:tcPr>
          <w:p>
            <w:pPr>
              <w:jc w:val="center"/>
              <w:rPr>
                <w:rFonts w:ascii="Times New Roman" w:hAnsi="Times New Roman" w:eastAsia="宋体" w:cs="Times New Roman"/>
                <w:sz w:val="21"/>
                <w:szCs w:val="21"/>
              </w:rPr>
            </w:pPr>
          </w:p>
        </w:tc>
      </w:tr>
    </w:tbl>
    <w:p>
      <w:pPr>
        <w:adjustRightInd w:val="0"/>
        <w:snapToGrid w:val="0"/>
        <w:spacing w:line="48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废水治理设施</w:t>
      </w:r>
    </w:p>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本项目污水处理站设计规模为80m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/d，采用“PH调节+水解酸化池+接触氧化池+混凝沉淀”工艺。工艺流程见下图</w:t>
      </w:r>
      <w:r>
        <w:rPr>
          <w:rFonts w:ascii="Times New Roman" w:hAnsi="Times New Roman" w:eastAsia="宋体" w:cs="Times New Roman"/>
          <w:sz w:val="24"/>
          <w:szCs w:val="24"/>
          <w:lang w:val="eu-ES"/>
        </w:rPr>
        <w:t>。</w: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872256" behindDoc="0" locked="0" layoutInCell="1" allowOverlap="1">
                <wp:simplePos x="0" y="0"/>
                <wp:positionH relativeFrom="column">
                  <wp:posOffset>4413885</wp:posOffset>
                </wp:positionH>
                <wp:positionV relativeFrom="paragraph">
                  <wp:posOffset>254000</wp:posOffset>
                </wp:positionV>
                <wp:extent cx="914400" cy="285750"/>
                <wp:effectExtent l="4445" t="4445" r="10795" b="14605"/>
                <wp:wrapNone/>
                <wp:docPr id="27" name="文本框 27"/>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接触氧化池</w:t>
                            </w:r>
                          </w:p>
                        </w:txbxContent>
                      </wps:txbx>
                      <wps:bodyPr upright="1"/>
                    </wps:wsp>
                  </a:graphicData>
                </a:graphic>
              </wp:anchor>
            </w:drawing>
          </mc:Choice>
          <mc:Fallback>
            <w:pict>
              <v:shape id="_x0000_s1026" o:spid="_x0000_s1026" o:spt="202" type="#_x0000_t202" style="position:absolute;left:0pt;margin-left:347.55pt;margin-top:20pt;height:22.5pt;width:72pt;z-index:251872256;mso-width-relative:page;mso-height-relative:page;" fillcolor="#FFFFFF" filled="t" stroked="t" coordsize="21600,21600" o:gfxdata="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xofnHZAAAACQEAAA8AAAAAAAAAAQAgAAAAIgAAAGRycy9kb3ducmV2LnhtbFBLAQIU&#10;ABQAAAAIAIdO4kDVP4UC8gEAAOkDAAAOAAAAAAAAAAEAIAAAACgBAABkcnMvZTJvRG9jLnhtbFBL&#10;BQYAAAAABgAGAFkBAACMBQAAAAA=&#10;">
                <v:fill on="t" focussize="0,0"/>
                <v:stroke color="#000000" joinstyle="miter"/>
                <v:imagedata o:title=""/>
                <o:lock v:ext="edit" aspectratio="f"/>
                <v:textbox>
                  <w:txbxContent>
                    <w:p>
                      <w:pPr>
                        <w:jc w:val="center"/>
                      </w:pPr>
                      <w:r>
                        <w:rPr>
                          <w:rFonts w:hint="eastAsia"/>
                        </w:rPr>
                        <w:t>接触氧化池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71232" behindDoc="0" locked="0" layoutInCell="1" allowOverlap="1">
                <wp:simplePos x="0" y="0"/>
                <wp:positionH relativeFrom="column">
                  <wp:posOffset>3185160</wp:posOffset>
                </wp:positionH>
                <wp:positionV relativeFrom="paragraph">
                  <wp:posOffset>232410</wp:posOffset>
                </wp:positionV>
                <wp:extent cx="895350" cy="325120"/>
                <wp:effectExtent l="4445" t="4445" r="14605" b="5715"/>
                <wp:wrapNone/>
                <wp:docPr id="31" name="文本框 31"/>
                <wp:cNvGraphicFramePr/>
                <a:graphic xmlns:a="http://schemas.openxmlformats.org/drawingml/2006/main">
                  <a:graphicData uri="http://schemas.microsoft.com/office/word/2010/wordprocessingShape">
                    <wps:wsp>
                      <wps:cNvSpPr txBox="1"/>
                      <wps:spPr>
                        <a:xfrm>
                          <a:off x="0" y="0"/>
                          <a:ext cx="895350" cy="3251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水解酸化池</w:t>
                            </w:r>
                          </w:p>
                        </w:txbxContent>
                      </wps:txbx>
                      <wps:bodyPr upright="1"/>
                    </wps:wsp>
                  </a:graphicData>
                </a:graphic>
              </wp:anchor>
            </w:drawing>
          </mc:Choice>
          <mc:Fallback>
            <w:pict>
              <v:shape id="_x0000_s1026" o:spid="_x0000_s1026" o:spt="202" type="#_x0000_t202" style="position:absolute;left:0pt;margin-left:250.8pt;margin-top:18.3pt;height:25.6pt;width:70.5pt;z-index:251871232;mso-width-relative:page;mso-height-relative:page;" fillcolor="#FFFFFF" filled="t" stroked="t" coordsize="21600,21600" o:gfxdata="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vXQv7YAAAACQEAAA8AAAAAAAAAAQAgAAAAIgAAAGRycy9kb3ducmV2LnhtbFBLAQIU&#10;ABQAAAAIAIdO4kBfkF648wEAAOkDAAAOAAAAAAAAAAEAIAAAACcBAABkcnMvZTJvRG9jLnhtbFBL&#10;BQYAAAAABgAGAFkBAACMBQAAAAA=&#10;">
                <v:fill on="t" focussize="0,0"/>
                <v:stroke color="#000000" joinstyle="miter"/>
                <v:imagedata o:title=""/>
                <o:lock v:ext="edit" aspectratio="f"/>
                <v:textbox>
                  <w:txbxContent>
                    <w:p>
                      <w:pPr>
                        <w:jc w:val="center"/>
                      </w:pPr>
                      <w:r>
                        <w:rPr>
                          <w:rFonts w:hint="eastAsia"/>
                        </w:rPr>
                        <w:t>水解酸化池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6112" behindDoc="0" locked="0" layoutInCell="1" allowOverlap="1">
                <wp:simplePos x="0" y="0"/>
                <wp:positionH relativeFrom="column">
                  <wp:posOffset>2165985</wp:posOffset>
                </wp:positionH>
                <wp:positionV relativeFrom="paragraph">
                  <wp:posOffset>247015</wp:posOffset>
                </wp:positionV>
                <wp:extent cx="676275" cy="285750"/>
                <wp:effectExtent l="4445" t="4445" r="5080" b="14605"/>
                <wp:wrapNone/>
                <wp:docPr id="32" name="文本框 32"/>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调节池</w:t>
                            </w:r>
                          </w:p>
                        </w:txbxContent>
                      </wps:txbx>
                      <wps:bodyPr upright="1"/>
                    </wps:wsp>
                  </a:graphicData>
                </a:graphic>
              </wp:anchor>
            </w:drawing>
          </mc:Choice>
          <mc:Fallback>
            <w:pict>
              <v:shape id="_x0000_s1026" o:spid="_x0000_s1026" o:spt="202" type="#_x0000_t202" style="position:absolute;left:0pt;margin-left:170.55pt;margin-top:19.45pt;height:22.5pt;width:53.25pt;z-index:251866112;mso-width-relative:page;mso-height-relative:page;" fillcolor="#FFFFFF" filled="t" stroked="t" coordsize="21600,21600" o:gfxdata="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bOcgLYAAAACQEAAA8AAAAAAAAAAQAgAAAAIgAAAGRycy9kb3ducmV2LnhtbFBLAQIU&#10;ABQAAAAIAIdO4kCcbtSa8wEAAOkDAAAOAAAAAAAAAAEAIAAAACcBAABkcnMvZTJvRG9jLnhtbFBL&#10;BQYAAAAABgAGAFkBAACMBQAAAAA=&#10;">
                <v:fill on="t" focussize="0,0"/>
                <v:stroke color="#000000" joinstyle="miter"/>
                <v:imagedata o:title=""/>
                <o:lock v:ext="edit" aspectratio="f"/>
                <v:textbox>
                  <w:txbxContent>
                    <w:p>
                      <w:pPr>
                        <w:jc w:val="center"/>
                      </w:pPr>
                      <w:r>
                        <w:rPr>
                          <w:rFonts w:hint="eastAsia"/>
                        </w:rPr>
                        <w:t>调节池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5088" behindDoc="0" locked="0" layoutInCell="1" allowOverlap="1">
                <wp:simplePos x="0" y="0"/>
                <wp:positionH relativeFrom="column">
                  <wp:posOffset>1156335</wp:posOffset>
                </wp:positionH>
                <wp:positionV relativeFrom="paragraph">
                  <wp:posOffset>256540</wp:posOffset>
                </wp:positionV>
                <wp:extent cx="676275" cy="285750"/>
                <wp:effectExtent l="4445" t="4445" r="5080" b="14605"/>
                <wp:wrapNone/>
                <wp:docPr id="33" name="文本框 33"/>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格栅</w:t>
                            </w:r>
                          </w:p>
                        </w:txbxContent>
                      </wps:txbx>
                      <wps:bodyPr upright="1"/>
                    </wps:wsp>
                  </a:graphicData>
                </a:graphic>
              </wp:anchor>
            </w:drawing>
          </mc:Choice>
          <mc:Fallback>
            <w:pict>
              <v:shape id="_x0000_s1026" o:spid="_x0000_s1026" o:spt="202" type="#_x0000_t202" style="position:absolute;left:0pt;margin-left:91.05pt;margin-top:20.2pt;height:22.5pt;width:53.25pt;z-index:251865088;mso-width-relative:page;mso-height-relative:page;" fillcolor="#FFFFFF" filled="t" stroked="t" coordsize="21600,21600" o:gfxdata="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iiJJe2AAAAAkBAAAPAAAAAAAAAAEAIAAAACIAAABkcnMvZG93bnJldi54bWxQSwEC&#10;FAAUAAAACACHTuJA0vJMbPQBAADpAwAADgAAAAAAAAABACAAAAAnAQAAZHJzL2Uyb0RvYy54bWxQ&#10;SwUGAAAAAAYABgBZAQAAjQUAAAAA&#10;">
                <v:fill on="t" focussize="0,0"/>
                <v:stroke color="#000000" joinstyle="miter"/>
                <v:imagedata o:title=""/>
                <o:lock v:ext="edit" aspectratio="f"/>
                <v:textbox>
                  <w:txbxContent>
                    <w:p>
                      <w:pPr>
                        <w:jc w:val="center"/>
                      </w:pPr>
                      <w:r>
                        <w:rPr>
                          <w:rFonts w:hint="eastAsia"/>
                        </w:rPr>
                        <w:t>格栅</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2016" behindDoc="0" locked="0" layoutInCell="1" allowOverlap="1">
                <wp:simplePos x="0" y="0"/>
                <wp:positionH relativeFrom="column">
                  <wp:posOffset>156210</wp:posOffset>
                </wp:positionH>
                <wp:positionV relativeFrom="paragraph">
                  <wp:posOffset>256540</wp:posOffset>
                </wp:positionV>
                <wp:extent cx="685800" cy="285750"/>
                <wp:effectExtent l="4445" t="4445" r="10795" b="14605"/>
                <wp:wrapNone/>
                <wp:docPr id="34" name="文本框 34"/>
                <wp:cNvGraphicFramePr/>
                <a:graphic xmlns:a="http://schemas.openxmlformats.org/drawingml/2006/main">
                  <a:graphicData uri="http://schemas.microsoft.com/office/word/2010/wordprocessingShape">
                    <wps:wsp>
                      <wps:cNvSpPr txBox="1"/>
                      <wps:spPr>
                        <a:xfrm>
                          <a:off x="1363345" y="6906260"/>
                          <a:ext cx="6858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污水</w:t>
                            </w:r>
                          </w:p>
                        </w:txbxContent>
                      </wps:txbx>
                      <wps:bodyPr upright="1"/>
                    </wps:wsp>
                  </a:graphicData>
                </a:graphic>
              </wp:anchor>
            </w:drawing>
          </mc:Choice>
          <mc:Fallback>
            <w:pict>
              <v:shape id="_x0000_s1026" o:spid="_x0000_s1026" o:spt="202" type="#_x0000_t202" style="position:absolute;left:0pt;margin-left:12.3pt;margin-top:20.2pt;height:22.5pt;width:54pt;z-index:251862016;mso-width-relative:page;mso-height-relative:page;" fillcolor="#FFFFFF" filled="t" stroked="t" coordsize="21600,21600" o:gfxdata="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JiautcAAAAIAQAADwAAAAAAAAABACAAAAAiAAAAZHJzL2Rvd25y&#10;ZXYueG1sUEsBAhQAFAAAAAgAh07iQHSSH+j/AQAA9QMAAA4AAAAAAAAAAQAgAAAAJgEAAGRycy9l&#10;Mm9Eb2MueG1sUEsFBgAAAAAGAAYAWQEAAJcFAAAAAA==&#10;">
                <v:fill on="t" focussize="0,0"/>
                <v:stroke color="#000000" joinstyle="miter"/>
                <v:imagedata o:title=""/>
                <o:lock v:ext="edit" aspectratio="f"/>
                <v:textbox>
                  <w:txbxContent>
                    <w:p>
                      <w:pPr>
                        <w:jc w:val="center"/>
                      </w:pPr>
                      <w:r>
                        <w:rPr>
                          <w:rFonts w:hint="eastAsia"/>
                        </w:rPr>
                        <w:t>污水</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870208" behindDoc="0" locked="0" layoutInCell="1" allowOverlap="1">
                <wp:simplePos x="0" y="0"/>
                <wp:positionH relativeFrom="column">
                  <wp:posOffset>4864100</wp:posOffset>
                </wp:positionH>
                <wp:positionV relativeFrom="paragraph">
                  <wp:posOffset>252730</wp:posOffset>
                </wp:positionV>
                <wp:extent cx="6985" cy="321310"/>
                <wp:effectExtent l="46990" t="0" r="52705" b="13970"/>
                <wp:wrapNone/>
                <wp:docPr id="39" name="直接箭头连接符 39"/>
                <wp:cNvGraphicFramePr/>
                <a:graphic xmlns:a="http://schemas.openxmlformats.org/drawingml/2006/main">
                  <a:graphicData uri="http://schemas.microsoft.com/office/word/2010/wordprocessingShape">
                    <wps:wsp>
                      <wps:cNvCnPr/>
                      <wps:spPr>
                        <a:xfrm flipH="1">
                          <a:off x="0" y="0"/>
                          <a:ext cx="6985" cy="32131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83pt;margin-top:19.9pt;height:25.3pt;width:0.55pt;z-index:251870208;mso-width-relative:page;mso-height-relative:page;" filled="f" stroked="t" coordsize="21600,21600" o:gfxdata="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iC3f2QAAAAkBAAAPAAAAAAAAAAEA&#10;IAAAACIAAABkcnMvZG93bnJldi54bWxQSwECFAAUAAAACACHTuJAFvkHFA4CAADSAwAADgAAAAAA&#10;AAABACAAAAAoAQAAZHJzL2Uyb0RvYy54bWxQSwUGAAAAAAYABgBZAQAAqAU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9184" behindDoc="0" locked="0" layoutInCell="1" allowOverlap="1">
                <wp:simplePos x="0" y="0"/>
                <wp:positionH relativeFrom="column">
                  <wp:posOffset>4099560</wp:posOffset>
                </wp:positionH>
                <wp:positionV relativeFrom="paragraph">
                  <wp:posOffset>100330</wp:posOffset>
                </wp:positionV>
                <wp:extent cx="316865" cy="0"/>
                <wp:effectExtent l="0" t="48895" r="3175" b="57785"/>
                <wp:wrapNone/>
                <wp:docPr id="40" name="直接箭头连接符 40"/>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22.8pt;margin-top:7.9pt;height:0pt;width:24.95pt;z-index:251869184;mso-width-relative:page;mso-height-relative:page;" filled="f" stroked="t" coordsize="21600,21600" o:gfxdata="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ghGTnXAAAACQEAAA8AAAAAAAAAAQAgAAAAIgAAAGRycy9k&#10;b3ducmV2LnhtbFBLAQIUABQAAAAIAIdO4kDqhXZhAwIAAMUDAAAOAAAAAAAAAAEAIAAAACYBAABk&#10;cnMvZTJvRG9jLnhtbFBLBQYAAAAABgAGAFkBAACb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7136" behindDoc="0" locked="0" layoutInCell="1" allowOverlap="1">
                <wp:simplePos x="0" y="0"/>
                <wp:positionH relativeFrom="column">
                  <wp:posOffset>1832610</wp:posOffset>
                </wp:positionH>
                <wp:positionV relativeFrom="paragraph">
                  <wp:posOffset>109855</wp:posOffset>
                </wp:positionV>
                <wp:extent cx="316865" cy="0"/>
                <wp:effectExtent l="0" t="48895" r="3175" b="57785"/>
                <wp:wrapNone/>
                <wp:docPr id="53" name="直接箭头连接符 53"/>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144.3pt;margin-top:8.65pt;height:0pt;width:24.95pt;z-index:251867136;mso-width-relative:page;mso-height-relative:page;" filled="f" stroked="t" coordsize="21600,21600" o:gfxdata="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7pbbdtgAAAAJAQAADwAAAAAAAAABACAAAAAiAAAAZHJz&#10;L2Rvd25yZXYueG1sUEsBAhQAFAAAAAgAh07iQMDUeIUEAgAAxQMAAA4AAAAAAAAAAQAgAAAAJwEA&#10;AGRycy9lMm9Eb2MueG1sUEsFBgAAAAAGAAYAWQEAAJ0FA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8160" behindDoc="0" locked="0" layoutInCell="1" allowOverlap="1">
                <wp:simplePos x="0" y="0"/>
                <wp:positionH relativeFrom="column">
                  <wp:posOffset>2870835</wp:posOffset>
                </wp:positionH>
                <wp:positionV relativeFrom="paragraph">
                  <wp:posOffset>90805</wp:posOffset>
                </wp:positionV>
                <wp:extent cx="316865" cy="0"/>
                <wp:effectExtent l="0" t="48895" r="3175" b="57785"/>
                <wp:wrapNone/>
                <wp:docPr id="57" name="直接箭头连接符 57"/>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226.05pt;margin-top:7.15pt;height:0pt;width:24.95pt;z-index:251868160;mso-width-relative:page;mso-height-relative:page;" filled="f" stroked="t" coordsize="21600,21600" o:gfxdata="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UXZEfXAAAACQEAAA8AAAAAAAAAAQAgAAAAIgAAAGRycy9k&#10;b3ducmV2LnhtbFBLAQIUABQAAAAIAIdO4kBF3ljsAwIAAMUDAAAOAAAAAAAAAAEAIAAAACYBAABk&#10;cnMvZTJvRG9jLnhtbFBLBQYAAAAABgAGAFkBAACb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4064" behindDoc="0" locked="0" layoutInCell="1" allowOverlap="1">
                <wp:simplePos x="0" y="0"/>
                <wp:positionH relativeFrom="column">
                  <wp:posOffset>842010</wp:posOffset>
                </wp:positionH>
                <wp:positionV relativeFrom="paragraph">
                  <wp:posOffset>109855</wp:posOffset>
                </wp:positionV>
                <wp:extent cx="316865" cy="0"/>
                <wp:effectExtent l="0" t="48895" r="3175" b="57785"/>
                <wp:wrapNone/>
                <wp:docPr id="61" name="直接箭头连接符 61"/>
                <wp:cNvGraphicFramePr/>
                <a:graphic xmlns:a="http://schemas.openxmlformats.org/drawingml/2006/main">
                  <a:graphicData uri="http://schemas.microsoft.com/office/word/2010/wordprocessingShape">
                    <wps:wsp>
                      <wps:cNvCnPr/>
                      <wps:spPr>
                        <a:xfrm>
                          <a:off x="2163445" y="7049135"/>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66.3pt;margin-top:8.65pt;height:0pt;width:24.95pt;z-index:251864064;mso-width-relative:page;mso-height-relative:page;" filled="f" stroked="t" coordsize="21600,21600" o:gfxdata="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yKzvjXAAAACQEAAA8AAAAAAAAA&#10;AQAgAAAAIgAAAGRycy9kb3ducmV2LnhtbFBLAQIUABQAAAAIAIdO4kDIAaRhEgIAANEDAAAOAAAA&#10;AAAAAAEAIAAAACYBAABkcnMvZTJvRG9jLnhtbFBLBQYAAAAABgAGAFkBAACqBQ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2" w:firstLineChars="200"/>
        <w:rPr>
          <w:rFonts w:ascii="Times New Roman" w:hAnsi="Times New Roman" w:eastAsia="宋体" w:cs="Times New Roman"/>
          <w:b/>
          <w:sz w:val="24"/>
          <w:szCs w:val="24"/>
        </w:rPr>
      </w:pP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875328" behindDoc="0" locked="0" layoutInCell="1" allowOverlap="1">
                <wp:simplePos x="0" y="0"/>
                <wp:positionH relativeFrom="column">
                  <wp:posOffset>3232785</wp:posOffset>
                </wp:positionH>
                <wp:positionV relativeFrom="paragraph">
                  <wp:posOffset>35560</wp:posOffset>
                </wp:positionV>
                <wp:extent cx="847725" cy="499745"/>
                <wp:effectExtent l="4445" t="4445" r="16510" b="13970"/>
                <wp:wrapNone/>
                <wp:docPr id="62" name="文本框 62"/>
                <wp:cNvGraphicFramePr/>
                <a:graphic xmlns:a="http://schemas.openxmlformats.org/drawingml/2006/main">
                  <a:graphicData uri="http://schemas.microsoft.com/office/word/2010/wordprocessingShape">
                    <wps:wsp>
                      <wps:cNvSpPr txBox="1"/>
                      <wps:spPr>
                        <a:xfrm>
                          <a:off x="0" y="0"/>
                          <a:ext cx="847725" cy="5001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收集池</w:t>
                            </w:r>
                          </w:p>
                        </w:txbxContent>
                      </wps:txbx>
                      <wps:bodyPr upright="1">
                        <a:noAutofit/>
                      </wps:bodyPr>
                    </wps:wsp>
                  </a:graphicData>
                </a:graphic>
              </wp:anchor>
            </w:drawing>
          </mc:Choice>
          <mc:Fallback>
            <w:pict>
              <v:shape id="_x0000_s1026" o:spid="_x0000_s1026" o:spt="202" type="#_x0000_t202" style="position:absolute;left:0pt;margin-left:254.55pt;margin-top:2.8pt;height:39.35pt;width:66.75pt;z-index:251875328;mso-width-relative:page;mso-height-relative:page;" fillcolor="#FFFFFF" filled="t" stroked="t" coordsize="21600,21600" o:gfxdata="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i0xVbXAAAACAEAAA8AAAAAAAAAAQAgAAAAIgAAAGRycy9kb3ducmV2Lnht&#10;bFBLAQIUABQAAAAIAIdO4kA2Ila/+gEAAAMEAAAOAAAAAAAAAAEAIAAAACYBAABkcnMvZTJvRG9j&#10;LnhtbFBLBQYAAAAABgAGAFkBAACSBQAAAAA=&#10;">
                <v:fill on="t" focussize="0,0"/>
                <v:stroke color="#000000" joinstyle="miter"/>
                <v:imagedata o:title=""/>
                <o:lock v:ext="edit" aspectratio="f"/>
                <v:textbox>
                  <w:txbxContent>
                    <w:p>
                      <w:pPr>
                        <w:jc w:val="center"/>
                        <w:rPr>
                          <w:szCs w:val="21"/>
                        </w:rPr>
                      </w:pPr>
                      <w:r>
                        <w:rPr>
                          <w:rFonts w:hint="eastAsia"/>
                          <w:szCs w:val="21"/>
                        </w:rPr>
                        <w:t>收集池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63040" behindDoc="0" locked="0" layoutInCell="1" allowOverlap="1">
                <wp:simplePos x="0" y="0"/>
                <wp:positionH relativeFrom="column">
                  <wp:posOffset>4489450</wp:posOffset>
                </wp:positionH>
                <wp:positionV relativeFrom="paragraph">
                  <wp:posOffset>17780</wp:posOffset>
                </wp:positionV>
                <wp:extent cx="847725" cy="484505"/>
                <wp:effectExtent l="4445" t="4445" r="16510" b="13970"/>
                <wp:wrapNone/>
                <wp:docPr id="63" name="文本框 63"/>
                <wp:cNvGraphicFramePr/>
                <a:graphic xmlns:a="http://schemas.openxmlformats.org/drawingml/2006/main">
                  <a:graphicData uri="http://schemas.microsoft.com/office/word/2010/wordprocessingShape">
                    <wps:wsp>
                      <wps:cNvSpPr txBox="1"/>
                      <wps:spPr>
                        <a:xfrm>
                          <a:off x="0" y="0"/>
                          <a:ext cx="847725" cy="4850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絮凝沉淀池</w:t>
                            </w:r>
                          </w:p>
                        </w:txbxContent>
                      </wps:txbx>
                      <wps:bodyPr upright="1">
                        <a:noAutofit/>
                      </wps:bodyPr>
                    </wps:wsp>
                  </a:graphicData>
                </a:graphic>
              </wp:anchor>
            </w:drawing>
          </mc:Choice>
          <mc:Fallback>
            <w:pict>
              <v:shape id="_x0000_s1026" o:spid="_x0000_s1026" o:spt="202" type="#_x0000_t202" style="position:absolute;left:0pt;margin-left:353.5pt;margin-top:1.4pt;height:38.15pt;width:66.75pt;z-index:251863040;mso-width-relative:page;mso-height-relative:page;" fillcolor="#FFFFFF" filled="t" stroked="t" coordsize="21600,21600" o:gfxdata="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vAuya1wAAAAgBAAAPAAAAAAAAAAEAIAAAACIAAABkcnMvZG93bnJl&#10;di54bWxQSwECFAAUAAAACACHTuJA+J4ACf4BAAADBAAADgAAAAAAAAABACAAAAAmAQAAZHJzL2Uy&#10;b0RvYy54bWxQSwUGAAAAAAYABgBZAQAAlgUAAAAA&#10;">
                <v:fill on="t" focussize="0,0"/>
                <v:stroke color="#000000" joinstyle="miter"/>
                <v:imagedata o:title=""/>
                <o:lock v:ext="edit" aspectratio="f"/>
                <v:textbox>
                  <w:txbxContent>
                    <w:p>
                      <w:pPr>
                        <w:jc w:val="center"/>
                        <w:rPr>
                          <w:szCs w:val="21"/>
                        </w:rPr>
                      </w:pPr>
                      <w:r>
                        <w:rPr>
                          <w:rFonts w:hint="eastAsia"/>
                          <w:szCs w:val="21"/>
                        </w:rPr>
                        <w:t>絮凝沉淀池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73280" behindDoc="0" locked="0" layoutInCell="1" allowOverlap="1">
                <wp:simplePos x="0" y="0"/>
                <wp:positionH relativeFrom="column">
                  <wp:posOffset>2029460</wp:posOffset>
                </wp:positionH>
                <wp:positionV relativeFrom="paragraph">
                  <wp:posOffset>64135</wp:posOffset>
                </wp:positionV>
                <wp:extent cx="847725" cy="484505"/>
                <wp:effectExtent l="4445" t="4445" r="16510" b="13970"/>
                <wp:wrapNone/>
                <wp:docPr id="64" name="文本框 64"/>
                <wp:cNvGraphicFramePr/>
                <a:graphic xmlns:a="http://schemas.openxmlformats.org/drawingml/2006/main">
                  <a:graphicData uri="http://schemas.microsoft.com/office/word/2010/wordprocessingShape">
                    <wps:wsp>
                      <wps:cNvSpPr txBox="1"/>
                      <wps:spPr>
                        <a:xfrm>
                          <a:off x="0" y="0"/>
                          <a:ext cx="847725" cy="48502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柳林县污水处理厂</w:t>
                            </w:r>
                          </w:p>
                        </w:txbxContent>
                      </wps:txbx>
                      <wps:bodyPr upright="1">
                        <a:noAutofit/>
                      </wps:bodyPr>
                    </wps:wsp>
                  </a:graphicData>
                </a:graphic>
              </wp:anchor>
            </w:drawing>
          </mc:Choice>
          <mc:Fallback>
            <w:pict>
              <v:shape id="_x0000_s1026" o:spid="_x0000_s1026" o:spt="202" type="#_x0000_t202" style="position:absolute;left:0pt;margin-left:159.8pt;margin-top:5.05pt;height:38.15pt;width:66.75pt;z-index:251873280;mso-width-relative:page;mso-height-relative:page;" fillcolor="#FFFFFF" filled="t" stroked="t" coordsize="21600,21600" o:gfxdata="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g8QVNcAAAAJAQAADwAAAAAAAAABACAAAAAiAAAAZHJzL2Rvd25yZXYu&#10;eG1sUEsBAhQAFAAAAAgAh07iQPuvMaT8AQAAAwQAAA4AAAAAAAAAAQAgAAAAJgEAAGRycy9lMm9E&#10;b2MueG1sUEsFBgAAAAAGAAYAWQEAAJQFAAAAAA==&#10;">
                <v:fill on="t" focussize="0,0"/>
                <v:stroke color="#000000" joinstyle="miter"/>
                <v:imagedata o:title=""/>
                <o:lock v:ext="edit" aspectratio="f"/>
                <v:textbox>
                  <w:txbxContent>
                    <w:p>
                      <w:pPr>
                        <w:jc w:val="center"/>
                        <w:rPr>
                          <w:szCs w:val="21"/>
                        </w:rPr>
                      </w:pPr>
                      <w:r>
                        <w:rPr>
                          <w:rFonts w:hint="eastAsia"/>
                          <w:szCs w:val="21"/>
                        </w:rPr>
                        <w:t>柳林县污水处理厂</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876352" behindDoc="0" locked="0" layoutInCell="1" allowOverlap="1">
                <wp:simplePos x="0" y="0"/>
                <wp:positionH relativeFrom="column">
                  <wp:posOffset>2862580</wp:posOffset>
                </wp:positionH>
                <wp:positionV relativeFrom="paragraph">
                  <wp:posOffset>101600</wp:posOffset>
                </wp:positionV>
                <wp:extent cx="368935" cy="0"/>
                <wp:effectExtent l="0" t="48895" r="12065" b="57785"/>
                <wp:wrapNone/>
                <wp:docPr id="65" name="直接箭头连接符 65"/>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225.4pt;margin-top:8pt;height:0pt;width:29.05pt;z-index:251876352;mso-width-relative:page;mso-height-relative:page;" filled="f" stroked="t" coordsize="21600,21600" o:gfxdata="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&#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yzMj1QAAAAkBAAAPAAAAAAAAAAEAIAAAACIAAABk&#10;cnMvZG93bnJldi54bWxQSwECFAAUAAAACACHTuJAVr+U2gkCAADPAwAADgAAAAAAAAABACAAAAAk&#10;AQAAZHJzL2Uyb0RvYy54bWxQSwUGAAAAAAYABgBZAQAAnwU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874304" behindDoc="0" locked="0" layoutInCell="1" allowOverlap="1">
                <wp:simplePos x="0" y="0"/>
                <wp:positionH relativeFrom="column">
                  <wp:posOffset>4087495</wp:posOffset>
                </wp:positionH>
                <wp:positionV relativeFrom="paragraph">
                  <wp:posOffset>70485</wp:posOffset>
                </wp:positionV>
                <wp:extent cx="368935" cy="0"/>
                <wp:effectExtent l="0" t="48895" r="12065" b="57785"/>
                <wp:wrapNone/>
                <wp:docPr id="66" name="直接箭头连接符 66"/>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21.85pt;margin-top:5.55pt;height:0pt;width:29.05pt;z-index:251874304;mso-width-relative:page;mso-height-relative:page;" filled="f" stroked="t" coordsize="21600,21600" o:gfxdata="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YHmGDWAAAACQEAAA8AAAAAAAAAAQAgAAAAIgAA&#10;AGRycy9kb3ducmV2LnhtbFBLAQIUABQAAAAIAIdO4kD1Z/OJCgIAAM8DAAAOAAAAAAAAAAEAIAAA&#10;ACUBAABkcnMvZTJvRG9jLnhtbFBLBQYAAAAABgAGAFkBAAChBQ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2" w:firstLineChars="200"/>
        <w:jc w:val="center"/>
        <w:rPr>
          <w:rFonts w:ascii="Times New Roman" w:hAnsi="Times New Roman" w:eastAsia="宋体" w:cs="Times New Roman"/>
          <w:bCs/>
          <w:sz w:val="24"/>
          <w:szCs w:val="24"/>
        </w:rPr>
      </w:pPr>
      <w:r>
        <w:rPr>
          <w:rFonts w:ascii="Times New Roman" w:hAnsi="Times New Roman" w:eastAsia="宋体" w:cs="Times New Roman"/>
          <w:b/>
          <w:bCs w:val="0"/>
          <w:sz w:val="24"/>
          <w:szCs w:val="24"/>
        </w:rPr>
        <w:t>图</w:t>
      </w:r>
      <w:r>
        <w:rPr>
          <w:rFonts w:hint="eastAsia" w:ascii="Times New Roman" w:hAnsi="Times New Roman" w:eastAsia="宋体" w:cs="Times New Roman"/>
          <w:b/>
          <w:bCs w:val="0"/>
          <w:sz w:val="24"/>
          <w:szCs w:val="24"/>
          <w:lang w:val="en-US" w:eastAsia="zh-CN"/>
        </w:rPr>
        <w:t>6.2-1</w:t>
      </w:r>
      <w:r>
        <w:rPr>
          <w:rFonts w:ascii="Times New Roman" w:hAnsi="Times New Roman" w:eastAsia="宋体" w:cs="Times New Roman"/>
          <w:b/>
          <w:bCs w:val="0"/>
          <w:sz w:val="24"/>
          <w:szCs w:val="24"/>
        </w:rPr>
        <w:t xml:space="preserve">   污水处理工艺流程图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污水处理工艺流程：</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各生产单元废水经格栅拦截水中较大的漂浮物后进入调节池，调节水体PH至6.8-7.2，用提升泵将废水排入水解酸化池，水解酸化工艺利用厌氧菌的分解作用，将水体中的大分子物质降解为小分子。经处理后的废水中COD得到有效降低，废水进入好氧池，好氧池利用微生物的呼吸作用，小分子有机物北彻底分解成二氧化氮和水等无机物，完成废水中大部分有机污染物的去除。接触氧化池出水流入反应池，在池中投加混凝剂，通过加药混凝沉淀作用出水可达标排放。</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ascii="Times New Roman" w:hAnsi="Times New Roman" w:eastAsia="宋体" w:cs="Times New Roman"/>
          <w:sz w:val="24"/>
          <w:szCs w:val="24"/>
        </w:rPr>
        <w:t>综上所述，本项目生产废水经污水处理站预处理后，COD排放浓度为420mg/L，BOD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排放浓度为90mg/L，SS排放浓度为160mg/L，NH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-N排放浓度为30mg/L，均可满足《污水排入城镇下水道水质标准》（GB/T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级标准限值，满足柳林县污水处理厂进水水质标准要求。</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3</w:t>
      </w: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废水排口基本情况</w:t>
      </w:r>
    </w:p>
    <w:p>
      <w:pPr>
        <w:widowControl/>
        <w:adjustRightInd w:val="0"/>
        <w:snapToGrid w:val="0"/>
        <w:spacing w:line="480" w:lineRule="exact"/>
        <w:jc w:val="center"/>
        <w:rPr>
          <w:rFonts w:hint="eastAsia" w:asciiTheme="minorEastAsia" w:hAnsiTheme="minorEastAsia" w:eastAsiaTheme="minorEastAsia" w:cstheme="minorEastAsia"/>
          <w:b/>
          <w:bCs w:val="0"/>
          <w:snapToGrid w:val="0"/>
          <w:color w:val="FF0000"/>
          <w:kern w:val="0"/>
          <w:szCs w:val="21"/>
        </w:rPr>
      </w:pPr>
      <w:r>
        <w:rPr>
          <w:rFonts w:hint="eastAsia" w:asciiTheme="minorEastAsia" w:hAnsiTheme="minorEastAsia" w:eastAsiaTheme="minorEastAsia" w:cstheme="minorEastAsia"/>
          <w:b/>
          <w:bCs w:val="0"/>
          <w:snapToGrid w:val="0"/>
          <w:kern w:val="0"/>
          <w:szCs w:val="21"/>
        </w:rPr>
        <w:t>表22  排放口基本情况一览表</w:t>
      </w:r>
    </w:p>
    <w:tbl>
      <w:tblPr>
        <w:tblStyle w:val="21"/>
        <w:tblW w:w="9286"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45"/>
        <w:gridCol w:w="834"/>
        <w:gridCol w:w="639"/>
        <w:gridCol w:w="825"/>
        <w:gridCol w:w="1036"/>
        <w:gridCol w:w="821"/>
        <w:gridCol w:w="626"/>
        <w:gridCol w:w="3401"/>
        <w:gridCol w:w="65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44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834"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废水类别</w:t>
            </w:r>
          </w:p>
        </w:tc>
        <w:tc>
          <w:tcPr>
            <w:tcW w:w="63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排放口编号</w:t>
            </w:r>
          </w:p>
        </w:tc>
        <w:tc>
          <w:tcPr>
            <w:tcW w:w="82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排放口名称</w:t>
            </w:r>
          </w:p>
        </w:tc>
        <w:tc>
          <w:tcPr>
            <w:tcW w:w="103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w:t>
            </w:r>
          </w:p>
          <w:p>
            <w:pPr>
              <w:jc w:val="center"/>
              <w:rPr>
                <w:rFonts w:ascii="Times New Roman" w:hAnsi="Times New Roman" w:eastAsia="宋体" w:cs="Times New Roman"/>
                <w:szCs w:val="21"/>
              </w:rPr>
            </w:pPr>
            <w:r>
              <w:rPr>
                <w:rFonts w:ascii="Times New Roman" w:hAnsi="Times New Roman" w:eastAsia="宋体" w:cs="Times New Roman"/>
                <w:szCs w:val="21"/>
              </w:rPr>
              <w:t>地理坐标</w:t>
            </w:r>
          </w:p>
        </w:tc>
        <w:tc>
          <w:tcPr>
            <w:tcW w:w="821"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排放口类型</w:t>
            </w:r>
          </w:p>
        </w:tc>
        <w:tc>
          <w:tcPr>
            <w:tcW w:w="62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排放规律</w:t>
            </w:r>
          </w:p>
        </w:tc>
        <w:tc>
          <w:tcPr>
            <w:tcW w:w="3401"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排放去向</w:t>
            </w:r>
          </w:p>
        </w:tc>
        <w:tc>
          <w:tcPr>
            <w:tcW w:w="65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44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834"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生活污水</w:t>
            </w:r>
          </w:p>
        </w:tc>
        <w:tc>
          <w:tcPr>
            <w:tcW w:w="63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2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03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21"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62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3401" w:type="dxa"/>
            <w:vMerge w:val="restart"/>
            <w:tcBorders>
              <w:tl2br w:val="nil"/>
              <w:tr2bl w:val="nil"/>
            </w:tcBorders>
            <w:vAlign w:val="center"/>
          </w:tcPr>
          <w:p>
            <w:pPr>
              <w:rPr>
                <w:rFonts w:ascii="Times New Roman" w:hAnsi="Times New Roman" w:eastAsia="宋体" w:cs="Times New Roman"/>
                <w:szCs w:val="21"/>
                <w:highlight w:val="yellow"/>
              </w:rPr>
            </w:pPr>
            <w:r>
              <w:rPr>
                <w:rFonts w:ascii="Times New Roman" w:hAnsi="Times New Roman" w:eastAsia="宋体" w:cs="Times New Roman"/>
                <w:szCs w:val="21"/>
              </w:rPr>
              <w:t>生活污水（其中食堂废水经隔油器处理）及生产废水经车间内废水管道进入厂区废水处理站预处理，处理后</w:t>
            </w:r>
            <w:r>
              <w:rPr>
                <w:rFonts w:hint="eastAsia" w:ascii="Times New Roman" w:hAnsi="Times New Roman" w:eastAsia="宋体" w:cs="Times New Roman"/>
                <w:szCs w:val="21"/>
              </w:rPr>
              <w:t>排入市政污</w:t>
            </w:r>
            <w:r>
              <w:rPr>
                <w:rFonts w:ascii="Times New Roman" w:hAnsi="Times New Roman" w:eastAsia="宋体" w:cs="Times New Roman"/>
                <w:szCs w:val="21"/>
              </w:rPr>
              <w:t>水管网</w:t>
            </w:r>
            <w:r>
              <w:rPr>
                <w:rFonts w:hint="eastAsia" w:ascii="Times New Roman" w:hAnsi="Times New Roman" w:eastAsia="宋体" w:cs="Times New Roman"/>
                <w:szCs w:val="21"/>
              </w:rPr>
              <w:t>，</w:t>
            </w:r>
            <w:r>
              <w:rPr>
                <w:rFonts w:ascii="Times New Roman" w:hAnsi="Times New Roman" w:eastAsia="宋体" w:cs="Times New Roman"/>
                <w:szCs w:val="21"/>
              </w:rPr>
              <w:t>最终由柳林县污水处理厂处理</w:t>
            </w:r>
          </w:p>
        </w:tc>
        <w:tc>
          <w:tcPr>
            <w:tcW w:w="65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417" w:hRule="atLeast"/>
          <w:jc w:val="center"/>
        </w:trPr>
        <w:tc>
          <w:tcPr>
            <w:tcW w:w="44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834"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生产废水</w:t>
            </w:r>
          </w:p>
        </w:tc>
        <w:tc>
          <w:tcPr>
            <w:tcW w:w="63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25"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03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821"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626"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3401" w:type="dxa"/>
            <w:vMerge w:val="continue"/>
            <w:tcBorders>
              <w:tl2br w:val="nil"/>
              <w:tr2bl w:val="nil"/>
            </w:tcBorders>
            <w:vAlign w:val="center"/>
          </w:tcPr>
          <w:p>
            <w:pPr>
              <w:rPr>
                <w:rFonts w:ascii="Times New Roman" w:hAnsi="Times New Roman" w:eastAsia="宋体" w:cs="Times New Roman"/>
                <w:szCs w:val="21"/>
                <w:highlight w:val="yellow"/>
              </w:rPr>
            </w:pPr>
          </w:p>
        </w:tc>
        <w:tc>
          <w:tcPr>
            <w:tcW w:w="659" w:type="dxa"/>
            <w:tcBorders>
              <w:tl2br w:val="nil"/>
              <w:tr2bl w:val="nil"/>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r>
    </w:tbl>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（3）依托柳林县污水处理厂的可行性分析：</w:t>
      </w:r>
    </w:p>
    <w:p>
      <w:pPr>
        <w:adjustRightInd w:val="0"/>
        <w:snapToGrid w:val="0"/>
        <w:spacing w:line="48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sz w:val="24"/>
          <w:szCs w:val="24"/>
        </w:rPr>
        <w:t>生活污水（其中食堂废水经隔油器处理）、生产废水经厂区污水处理站预处理后出水水质达到《污水排入城镇下水道水质标准》（GB/T31962-2015）表1 中A标准后，排入柳林县污水处理厂进行处理。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柳林县污水处理厂于2007年1月建设，2010年4月30日，原柳林县环境保护局以柳环函【2010】42号对“柳林县县城3万吨/日污水处理工程（一期2万吨/日）新建项目”进行了验收；2020年10进行了“柳林县污水处理厂改造工程”环评并下发环评批复，改造后处理工艺采用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/O工艺，处理规模为28000m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/d，目前该污水处理厂处理污水总量约为16400m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/d，剩余污水处理量为11600m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/d，可接收本项目产生的</w:t>
      </w:r>
      <w:r>
        <w:rPr>
          <w:rFonts w:hint="eastAsia" w:ascii="Times New Roman" w:hAnsi="Times New Roman" w:eastAsia="宋体" w:cs="Times New Roman"/>
          <w:sz w:val="24"/>
          <w:szCs w:val="24"/>
        </w:rPr>
        <w:t>69.98</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/d，可确保本项目污水得到处理。</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（4）废水不外排保证性</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本项目废水为生活废水、生产废水（清洗废水、浸泡废水、设备清洗废水、地面冲洗废水）。生活污水（其中食堂废水经隔油器处理）及生产废水经车间内废水管道进入厂区废水处理站预处理，处理后</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最终由柳林县污水处理厂处理，不向外环境排放。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考虑废水不能及时运输至</w:t>
      </w:r>
      <w:r>
        <w:rPr>
          <w:rFonts w:ascii="Times New Roman" w:hAnsi="Times New Roman" w:eastAsia="宋体" w:cs="Times New Roman"/>
          <w:sz w:val="24"/>
          <w:szCs w:val="24"/>
        </w:rPr>
        <w:t>柳林县污水处理厂或水处理设备检修等情况，故在厂区设150m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的应急储水池（可暂存废水2天）。保证废水不外排。</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ascii="Times New Roman" w:hAnsi="Times New Roman" w:eastAsia="宋体" w:cs="Times New Roman"/>
          <w:sz w:val="24"/>
          <w:szCs w:val="24"/>
        </w:rPr>
        <w:t>综上所述，本项目产生的废水全部</w:t>
      </w:r>
      <w:r>
        <w:rPr>
          <w:rFonts w:hint="eastAsia" w:ascii="Times New Roman" w:hAnsi="Times New Roman" w:eastAsia="宋体" w:cs="Times New Roman"/>
          <w:sz w:val="24"/>
          <w:szCs w:val="24"/>
        </w:rPr>
        <w:t>排入市政污</w:t>
      </w:r>
      <w:r>
        <w:rPr>
          <w:rFonts w:ascii="Times New Roman" w:hAnsi="Times New Roman" w:eastAsia="宋体" w:cs="Times New Roman"/>
          <w:sz w:val="24"/>
          <w:szCs w:val="24"/>
        </w:rPr>
        <w:t>水管网</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最终由柳林县污水处理厂处理，废水不外排具有保证性。</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7.水环境保护措施</w:t>
      </w:r>
      <w:r>
        <w:rPr>
          <w:rFonts w:hint="eastAsia" w:asciiTheme="minorEastAsia" w:hAnsiTheme="minorEastAsia" w:cstheme="minorEastAsia"/>
          <w:b/>
          <w:bCs/>
          <w:sz w:val="28"/>
          <w:szCs w:val="28"/>
          <w:lang w:val="en-US" w:eastAsia="zh-CN"/>
        </w:rPr>
        <w:t>及监测计划</w:t>
      </w:r>
    </w:p>
    <w:p>
      <w:pPr>
        <w:adjustRightInd w:val="0"/>
        <w:snapToGrid w:val="0"/>
        <w:spacing w:line="480" w:lineRule="exact"/>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 水环境保护措施</w:t>
      </w:r>
    </w:p>
    <w:p>
      <w:pPr>
        <w:adjustRightInd w:val="0"/>
        <w:snapToGrid w:val="0"/>
        <w:spacing w:line="480" w:lineRule="exact"/>
        <w:ind w:firstLine="480" w:firstLineChars="200"/>
        <w:rPr>
          <w:rFonts w:ascii="Times New Roman" w:hAnsi="Times New Roman" w:eastAsia="宋体" w:cs="Times New Roman"/>
          <w:sz w:val="24"/>
          <w:szCs w:val="24"/>
          <w:lang w:val="eu-ES"/>
        </w:rPr>
      </w:pPr>
      <w:r>
        <w:rPr>
          <w:rFonts w:ascii="Times New Roman" w:hAnsi="Times New Roman" w:eastAsia="宋体" w:cs="Times New Roman"/>
          <w:sz w:val="24"/>
          <w:szCs w:val="24"/>
        </w:rPr>
        <w:t>本项目污水处理站设计规模为80m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/d，采用“PH调节+水解酸化池+接触氧化池+混凝沉淀”工艺。工艺流程见下图</w:t>
      </w:r>
      <w:r>
        <w:rPr>
          <w:rFonts w:ascii="Times New Roman" w:hAnsi="Times New Roman" w:eastAsia="宋体" w:cs="Times New Roman"/>
          <w:sz w:val="24"/>
          <w:szCs w:val="24"/>
          <w:lang w:val="eu-ES"/>
        </w:rPr>
        <w:t>。</w:t>
      </w:r>
    </w:p>
    <w:p>
      <w:pPr>
        <w:pStyle w:val="2"/>
        <w:rPr>
          <w:rFonts w:ascii="Times New Roman" w:hAnsi="Times New Roman" w:eastAsia="宋体" w:cs="Times New Roman"/>
          <w:sz w:val="24"/>
          <w:szCs w:val="24"/>
          <w:lang w:val="eu-ES"/>
        </w:rPr>
      </w:pPr>
    </w:p>
    <w:p>
      <w:pPr>
        <w:pStyle w:val="2"/>
        <w:rPr>
          <w:rFonts w:ascii="Times New Roman" w:hAnsi="Times New Roman" w:eastAsia="宋体" w:cs="Times New Roman"/>
          <w:sz w:val="24"/>
          <w:szCs w:val="24"/>
          <w:lang w:val="eu-ES"/>
        </w:rPr>
      </w:pPr>
    </w:p>
    <w:p>
      <w:pPr>
        <w:pStyle w:val="2"/>
        <w:rPr>
          <w:rFonts w:ascii="Times New Roman" w:hAnsi="Times New Roman" w:eastAsia="宋体" w:cs="Times New Roman"/>
          <w:sz w:val="24"/>
          <w:szCs w:val="24"/>
          <w:lang w:val="eu-ES"/>
        </w:rPr>
      </w:pPr>
    </w:p>
    <w:p>
      <w:pPr>
        <w:pStyle w:val="2"/>
        <w:rPr>
          <w:rFonts w:ascii="Times New Roman" w:hAnsi="Times New Roman" w:eastAsia="宋体" w:cs="Times New Roman"/>
          <w:sz w:val="24"/>
          <w:szCs w:val="24"/>
          <w:lang w:val="eu-ES"/>
        </w:rPr>
      </w:pP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2091392" behindDoc="0" locked="0" layoutInCell="1" allowOverlap="1">
                <wp:simplePos x="0" y="0"/>
                <wp:positionH relativeFrom="column">
                  <wp:posOffset>4413885</wp:posOffset>
                </wp:positionH>
                <wp:positionV relativeFrom="paragraph">
                  <wp:posOffset>254000</wp:posOffset>
                </wp:positionV>
                <wp:extent cx="914400" cy="285750"/>
                <wp:effectExtent l="4445" t="4445" r="10795" b="14605"/>
                <wp:wrapNone/>
                <wp:docPr id="67" name="文本框 67"/>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接触氧化池</w:t>
                            </w:r>
                          </w:p>
                        </w:txbxContent>
                      </wps:txbx>
                      <wps:bodyPr upright="1"/>
                    </wps:wsp>
                  </a:graphicData>
                </a:graphic>
              </wp:anchor>
            </w:drawing>
          </mc:Choice>
          <mc:Fallback>
            <w:pict>
              <v:shape id="_x0000_s1026" o:spid="_x0000_s1026" o:spt="202" type="#_x0000_t202" style="position:absolute;left:0pt;margin-left:347.55pt;margin-top:20pt;height:22.5pt;width:72pt;z-index:252091392;mso-width-relative:page;mso-height-relative:page;" fillcolor="#FFFFFF" filled="t" stroked="t" coordsize="21600,21600" o:gfxdata="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caH5x2QAAAAkBAAAPAAAAAAAAAAEAIAAAACIAAABkcnMvZG93bnJldi54bWxQSwEC&#10;FAAUAAAACACHTuJAOuVdKfMBAADpAwAADgAAAAAAAAABACAAAAAoAQAAZHJzL2Uyb0RvYy54bWxQ&#10;SwUGAAAAAAYABgBZAQAAjQUAAAAA&#10;">
                <v:fill on="t" focussize="0,0"/>
                <v:stroke color="#000000" joinstyle="miter"/>
                <v:imagedata o:title=""/>
                <o:lock v:ext="edit" aspectratio="f"/>
                <v:textbox>
                  <w:txbxContent>
                    <w:p>
                      <w:pPr>
                        <w:jc w:val="center"/>
                      </w:pPr>
                      <w:r>
                        <w:rPr>
                          <w:rFonts w:hint="eastAsia"/>
                        </w:rPr>
                        <w:t>接触氧化池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90368" behindDoc="0" locked="0" layoutInCell="1" allowOverlap="1">
                <wp:simplePos x="0" y="0"/>
                <wp:positionH relativeFrom="column">
                  <wp:posOffset>3185160</wp:posOffset>
                </wp:positionH>
                <wp:positionV relativeFrom="paragraph">
                  <wp:posOffset>232410</wp:posOffset>
                </wp:positionV>
                <wp:extent cx="895350" cy="325120"/>
                <wp:effectExtent l="4445" t="4445" r="14605" b="5715"/>
                <wp:wrapNone/>
                <wp:docPr id="68" name="文本框 68"/>
                <wp:cNvGraphicFramePr/>
                <a:graphic xmlns:a="http://schemas.openxmlformats.org/drawingml/2006/main">
                  <a:graphicData uri="http://schemas.microsoft.com/office/word/2010/wordprocessingShape">
                    <wps:wsp>
                      <wps:cNvSpPr txBox="1"/>
                      <wps:spPr>
                        <a:xfrm>
                          <a:off x="0" y="0"/>
                          <a:ext cx="895350" cy="3251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水解酸化池</w:t>
                            </w:r>
                          </w:p>
                        </w:txbxContent>
                      </wps:txbx>
                      <wps:bodyPr upright="1"/>
                    </wps:wsp>
                  </a:graphicData>
                </a:graphic>
              </wp:anchor>
            </w:drawing>
          </mc:Choice>
          <mc:Fallback>
            <w:pict>
              <v:shape id="_x0000_s1026" o:spid="_x0000_s1026" o:spt="202" type="#_x0000_t202" style="position:absolute;left:0pt;margin-left:250.8pt;margin-top:18.3pt;height:25.6pt;width:70.5pt;z-index:252090368;mso-width-relative:page;mso-height-relative:page;" fillcolor="#FFFFFF" filled="t" stroked="t" coordsize="21600,21600" o:gfxdata="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vXQv7YAAAACQEAAA8AAAAAAAAAAQAgAAAAIgAAAGRycy9kb3ducmV2LnhtbFBLAQIU&#10;ABQAAAAIAIdO4kCB2Ywt8wEAAOkDAAAOAAAAAAAAAAEAIAAAACcBAABkcnMvZTJvRG9jLnhtbFBL&#10;BQYAAAAABgAGAFkBAACMBQAAAAA=&#10;">
                <v:fill on="t" focussize="0,0"/>
                <v:stroke color="#000000" joinstyle="miter"/>
                <v:imagedata o:title=""/>
                <o:lock v:ext="edit" aspectratio="f"/>
                <v:textbox>
                  <w:txbxContent>
                    <w:p>
                      <w:pPr>
                        <w:jc w:val="center"/>
                      </w:pPr>
                      <w:r>
                        <w:rPr>
                          <w:rFonts w:hint="eastAsia"/>
                        </w:rPr>
                        <w:t>水解酸化池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5248" behindDoc="0" locked="0" layoutInCell="1" allowOverlap="1">
                <wp:simplePos x="0" y="0"/>
                <wp:positionH relativeFrom="column">
                  <wp:posOffset>2165985</wp:posOffset>
                </wp:positionH>
                <wp:positionV relativeFrom="paragraph">
                  <wp:posOffset>247015</wp:posOffset>
                </wp:positionV>
                <wp:extent cx="676275" cy="285750"/>
                <wp:effectExtent l="4445" t="4445" r="5080" b="14605"/>
                <wp:wrapNone/>
                <wp:docPr id="69" name="文本框 69"/>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调节池</w:t>
                            </w:r>
                          </w:p>
                        </w:txbxContent>
                      </wps:txbx>
                      <wps:bodyPr upright="1"/>
                    </wps:wsp>
                  </a:graphicData>
                </a:graphic>
              </wp:anchor>
            </w:drawing>
          </mc:Choice>
          <mc:Fallback>
            <w:pict>
              <v:shape id="_x0000_s1026" o:spid="_x0000_s1026" o:spt="202" type="#_x0000_t202" style="position:absolute;left:0pt;margin-left:170.55pt;margin-top:19.45pt;height:22.5pt;width:53.25pt;z-index:252085248;mso-width-relative:page;mso-height-relative:page;" fillcolor="#FFFFFF" filled="t" stroked="t" coordsize="21600,21600" o:gfxdata="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bOcgLYAAAACQEAAA8AAAAAAAAAAQAgAAAAIgAAAGRycy9kb3ducmV2LnhtbFBLAQIU&#10;ABQAAAAIAIdO4kCfGUY58wEAAOkDAAAOAAAAAAAAAAEAIAAAACcBAABkcnMvZTJvRG9jLnhtbFBL&#10;BQYAAAAABgAGAFkBAACMBQAAAAA=&#10;">
                <v:fill on="t" focussize="0,0"/>
                <v:stroke color="#000000" joinstyle="miter"/>
                <v:imagedata o:title=""/>
                <o:lock v:ext="edit" aspectratio="f"/>
                <v:textbox>
                  <w:txbxContent>
                    <w:p>
                      <w:pPr>
                        <w:jc w:val="center"/>
                      </w:pPr>
                      <w:r>
                        <w:rPr>
                          <w:rFonts w:hint="eastAsia"/>
                        </w:rPr>
                        <w:t>调节池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4224" behindDoc="0" locked="0" layoutInCell="1" allowOverlap="1">
                <wp:simplePos x="0" y="0"/>
                <wp:positionH relativeFrom="column">
                  <wp:posOffset>1156335</wp:posOffset>
                </wp:positionH>
                <wp:positionV relativeFrom="paragraph">
                  <wp:posOffset>256540</wp:posOffset>
                </wp:positionV>
                <wp:extent cx="676275" cy="285750"/>
                <wp:effectExtent l="4445" t="4445" r="5080" b="14605"/>
                <wp:wrapNone/>
                <wp:docPr id="70" name="文本框 70"/>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格栅</w:t>
                            </w:r>
                          </w:p>
                        </w:txbxContent>
                      </wps:txbx>
                      <wps:bodyPr upright="1"/>
                    </wps:wsp>
                  </a:graphicData>
                </a:graphic>
              </wp:anchor>
            </w:drawing>
          </mc:Choice>
          <mc:Fallback>
            <w:pict>
              <v:shape id="_x0000_s1026" o:spid="_x0000_s1026" o:spt="202" type="#_x0000_t202" style="position:absolute;left:0pt;margin-left:91.05pt;margin-top:20.2pt;height:22.5pt;width:53.25pt;z-index:252084224;mso-width-relative:page;mso-height-relative:page;" fillcolor="#FFFFFF" filled="t" stroked="t" coordsize="21600,21600" o:gfxdata="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ooiSXtgAAAAJAQAADwAAAAAAAAABACAAAAAiAAAAZHJzL2Rvd25yZXYueG1sUEsBAhQA&#10;FAAAAAgAh07iQK6KTIfyAQAA6QMAAA4AAAAAAAAAAQAgAAAAJwEAAGRycy9lMm9Eb2MueG1sUEsF&#10;BgAAAAAGAAYAWQEAAIsFAAAAAA==&#10;">
                <v:fill on="t" focussize="0,0"/>
                <v:stroke color="#000000" joinstyle="miter"/>
                <v:imagedata o:title=""/>
                <o:lock v:ext="edit" aspectratio="f"/>
                <v:textbox>
                  <w:txbxContent>
                    <w:p>
                      <w:pPr>
                        <w:jc w:val="center"/>
                      </w:pPr>
                      <w:r>
                        <w:rPr>
                          <w:rFonts w:hint="eastAsia"/>
                        </w:rPr>
                        <w:t>格栅</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1152" behindDoc="0" locked="0" layoutInCell="1" allowOverlap="1">
                <wp:simplePos x="0" y="0"/>
                <wp:positionH relativeFrom="column">
                  <wp:posOffset>156210</wp:posOffset>
                </wp:positionH>
                <wp:positionV relativeFrom="paragraph">
                  <wp:posOffset>256540</wp:posOffset>
                </wp:positionV>
                <wp:extent cx="685800" cy="285750"/>
                <wp:effectExtent l="4445" t="4445" r="10795" b="14605"/>
                <wp:wrapNone/>
                <wp:docPr id="71" name="文本框 71"/>
                <wp:cNvGraphicFramePr/>
                <a:graphic xmlns:a="http://schemas.openxmlformats.org/drawingml/2006/main">
                  <a:graphicData uri="http://schemas.microsoft.com/office/word/2010/wordprocessingShape">
                    <wps:wsp>
                      <wps:cNvSpPr txBox="1"/>
                      <wps:spPr>
                        <a:xfrm>
                          <a:off x="1363345" y="6906260"/>
                          <a:ext cx="68580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污水</w:t>
                            </w:r>
                          </w:p>
                        </w:txbxContent>
                      </wps:txbx>
                      <wps:bodyPr upright="1"/>
                    </wps:wsp>
                  </a:graphicData>
                </a:graphic>
              </wp:anchor>
            </w:drawing>
          </mc:Choice>
          <mc:Fallback>
            <w:pict>
              <v:shape id="_x0000_s1026" o:spid="_x0000_s1026" o:spt="202" type="#_x0000_t202" style="position:absolute;left:0pt;margin-left:12.3pt;margin-top:20.2pt;height:22.5pt;width:54pt;z-index:252081152;mso-width-relative:page;mso-height-relative:page;" fillcolor="#FFFFFF" filled="t" stroked="t" coordsize="21600,21600" o:gfxdata="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UmJq61wAAAAgBAAAPAAAAAAAAAAEAIAAAACIAAABkcnMvZG93bnJl&#10;di54bWxQSwECFAAUAAAACACHTuJAoc1+uf4BAAD1AwAADgAAAAAAAAABACAAAAAmAQAAZHJzL2Uy&#10;b0RvYy54bWxQSwUGAAAAAAYABgBZAQAAlgUAAAAA&#10;">
                <v:fill on="t" focussize="0,0"/>
                <v:stroke color="#000000" joinstyle="miter"/>
                <v:imagedata o:title=""/>
                <o:lock v:ext="edit" aspectratio="f"/>
                <v:textbox>
                  <w:txbxContent>
                    <w:p>
                      <w:pPr>
                        <w:jc w:val="center"/>
                      </w:pPr>
                      <w:r>
                        <w:rPr>
                          <w:rFonts w:hint="eastAsia"/>
                        </w:rPr>
                        <w:t>污水</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2089344" behindDoc="0" locked="0" layoutInCell="1" allowOverlap="1">
                <wp:simplePos x="0" y="0"/>
                <wp:positionH relativeFrom="column">
                  <wp:posOffset>4864100</wp:posOffset>
                </wp:positionH>
                <wp:positionV relativeFrom="paragraph">
                  <wp:posOffset>252730</wp:posOffset>
                </wp:positionV>
                <wp:extent cx="6985" cy="321310"/>
                <wp:effectExtent l="46990" t="0" r="52705" b="13970"/>
                <wp:wrapNone/>
                <wp:docPr id="72" name="直接箭头连接符 72"/>
                <wp:cNvGraphicFramePr/>
                <a:graphic xmlns:a="http://schemas.openxmlformats.org/drawingml/2006/main">
                  <a:graphicData uri="http://schemas.microsoft.com/office/word/2010/wordprocessingShape">
                    <wps:wsp>
                      <wps:cNvCnPr/>
                      <wps:spPr>
                        <a:xfrm flipH="1">
                          <a:off x="0" y="0"/>
                          <a:ext cx="6985" cy="32131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83pt;margin-top:19.9pt;height:25.3pt;width:0.55pt;z-index:252089344;mso-width-relative:page;mso-height-relative:page;" filled="f" stroked="t" coordsize="21600,21600" o:gfxdata="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iC3f2QAAAAkBAAAPAAAAAAAAAAEA&#10;IAAAACIAAABkcnMvZG93bnJldi54bWxQSwECFAAUAAAACACHTuJALY9heA4CAADSAwAADgAAAAAA&#10;AAABACAAAAAoAQAAZHJzL2Uyb0RvYy54bWxQSwUGAAAAAAYABgBZAQAAqAU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8320" behindDoc="0" locked="0" layoutInCell="1" allowOverlap="1">
                <wp:simplePos x="0" y="0"/>
                <wp:positionH relativeFrom="column">
                  <wp:posOffset>4099560</wp:posOffset>
                </wp:positionH>
                <wp:positionV relativeFrom="paragraph">
                  <wp:posOffset>100330</wp:posOffset>
                </wp:positionV>
                <wp:extent cx="316865" cy="0"/>
                <wp:effectExtent l="0" t="48895" r="3175" b="57785"/>
                <wp:wrapNone/>
                <wp:docPr id="73" name="直接箭头连接符 73"/>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22.8pt;margin-top:7.9pt;height:0pt;width:24.95pt;z-index:252088320;mso-width-relative:page;mso-height-relative:page;" filled="f" stroked="t" coordsize="21600,21600" o:gfxdata="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ghGTnXAAAACQEAAA8AAAAAAAAAAQAgAAAAIgAAAGRycy9k&#10;b3ducmV2LnhtbFBLAQIUABQAAAAIAIdO4kAy/B0mAwIAAMUDAAAOAAAAAAAAAAEAIAAAACYBAABk&#10;cnMvZTJvRG9jLnhtbFBLBQYAAAAABgAGAFkBAACb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6272" behindDoc="0" locked="0" layoutInCell="1" allowOverlap="1">
                <wp:simplePos x="0" y="0"/>
                <wp:positionH relativeFrom="column">
                  <wp:posOffset>1832610</wp:posOffset>
                </wp:positionH>
                <wp:positionV relativeFrom="paragraph">
                  <wp:posOffset>109855</wp:posOffset>
                </wp:positionV>
                <wp:extent cx="316865" cy="0"/>
                <wp:effectExtent l="0" t="48895" r="3175" b="57785"/>
                <wp:wrapNone/>
                <wp:docPr id="74" name="直接箭头连接符 74"/>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144.3pt;margin-top:8.65pt;height:0pt;width:24.95pt;z-index:252086272;mso-width-relative:page;mso-height-relative:page;" filled="f" stroked="t" coordsize="21600,21600" o:gfxdata="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7pbbdtgAAAAJAQAADwAAAAAAAAABACAAAAAiAAAAZHJz&#10;L2Rvd25yZXYueG1sUEsBAhQAFAAAAAgAh07iQOQzgfoEAgAAxQMAAA4AAAAAAAAAAQAgAAAAJwEA&#10;AGRycy9lMm9Eb2MueG1sUEsFBgAAAAAGAAYAWQEAAJ0FA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7296" behindDoc="0" locked="0" layoutInCell="1" allowOverlap="1">
                <wp:simplePos x="0" y="0"/>
                <wp:positionH relativeFrom="column">
                  <wp:posOffset>2870835</wp:posOffset>
                </wp:positionH>
                <wp:positionV relativeFrom="paragraph">
                  <wp:posOffset>90805</wp:posOffset>
                </wp:positionV>
                <wp:extent cx="316865" cy="0"/>
                <wp:effectExtent l="0" t="48895" r="3175" b="57785"/>
                <wp:wrapNone/>
                <wp:docPr id="75" name="直接箭头连接符 75"/>
                <wp:cNvGraphicFramePr/>
                <a:graphic xmlns:a="http://schemas.openxmlformats.org/drawingml/2006/main">
                  <a:graphicData uri="http://schemas.microsoft.com/office/word/2010/wordprocessingShape">
                    <wps:wsp>
                      <wps:cNvCnPr/>
                      <wps:spPr>
                        <a:xfrm>
                          <a:off x="0" y="0"/>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226.05pt;margin-top:7.15pt;height:0pt;width:24.95pt;z-index:252087296;mso-width-relative:page;mso-height-relative:page;" filled="f" stroked="t" coordsize="21600,21600" o:gfxdata="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UXZEfXAAAACQEAAA8AAAAAAAAAAQAgAAAAIgAAAGRycy9k&#10;b3ducmV2LnhtbFBLAQIUABQAAAAIAIdO4kDVcBWWAwIAAMUDAAAOAAAAAAAAAAEAIAAAACYBAABk&#10;cnMvZTJvRG9jLnhtbFBLBQYAAAAABgAGAFkBAACbBQ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3200" behindDoc="0" locked="0" layoutInCell="1" allowOverlap="1">
                <wp:simplePos x="0" y="0"/>
                <wp:positionH relativeFrom="column">
                  <wp:posOffset>842010</wp:posOffset>
                </wp:positionH>
                <wp:positionV relativeFrom="paragraph">
                  <wp:posOffset>109855</wp:posOffset>
                </wp:positionV>
                <wp:extent cx="316865" cy="0"/>
                <wp:effectExtent l="0" t="48895" r="3175" b="57785"/>
                <wp:wrapNone/>
                <wp:docPr id="76" name="直接箭头连接符 76"/>
                <wp:cNvGraphicFramePr/>
                <a:graphic xmlns:a="http://schemas.openxmlformats.org/drawingml/2006/main">
                  <a:graphicData uri="http://schemas.microsoft.com/office/word/2010/wordprocessingShape">
                    <wps:wsp>
                      <wps:cNvCnPr/>
                      <wps:spPr>
                        <a:xfrm>
                          <a:off x="2163445" y="7049135"/>
                          <a:ext cx="31686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66.3pt;margin-top:8.65pt;height:0pt;width:24.95pt;z-index:252083200;mso-width-relative:page;mso-height-relative:page;" filled="f" stroked="t" coordsize="21600,21600" o:gfxdata="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yKzvjXAAAACQEAAA8AAAAAAAAA&#10;AQAgAAAAIgAAAGRycy9kb3ducmV2LnhtbFBLAQIUABQAAAAIAIdO4kC6pNf2EgIAANEDAAAOAAAA&#10;AAAAAAEAIAAAACYBAABkcnMvZTJvRG9jLnhtbFBLBQYAAAAABgAGAFkBAACqBQ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2" w:firstLineChars="200"/>
        <w:rPr>
          <w:rFonts w:ascii="Times New Roman" w:hAnsi="Times New Roman" w:eastAsia="宋体" w:cs="Times New Roman"/>
          <w:b/>
          <w:sz w:val="24"/>
          <w:szCs w:val="24"/>
        </w:rPr>
      </w:pP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2094464" behindDoc="0" locked="0" layoutInCell="1" allowOverlap="1">
                <wp:simplePos x="0" y="0"/>
                <wp:positionH relativeFrom="column">
                  <wp:posOffset>3232785</wp:posOffset>
                </wp:positionH>
                <wp:positionV relativeFrom="paragraph">
                  <wp:posOffset>35560</wp:posOffset>
                </wp:positionV>
                <wp:extent cx="847725" cy="499745"/>
                <wp:effectExtent l="4445" t="4445" r="16510" b="13970"/>
                <wp:wrapNone/>
                <wp:docPr id="77" name="文本框 77"/>
                <wp:cNvGraphicFramePr/>
                <a:graphic xmlns:a="http://schemas.openxmlformats.org/drawingml/2006/main">
                  <a:graphicData uri="http://schemas.microsoft.com/office/word/2010/wordprocessingShape">
                    <wps:wsp>
                      <wps:cNvSpPr txBox="1"/>
                      <wps:spPr>
                        <a:xfrm>
                          <a:off x="0" y="0"/>
                          <a:ext cx="847725" cy="5001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收集池</w:t>
                            </w:r>
                          </w:p>
                        </w:txbxContent>
                      </wps:txbx>
                      <wps:bodyPr upright="1">
                        <a:noAutofit/>
                      </wps:bodyPr>
                    </wps:wsp>
                  </a:graphicData>
                </a:graphic>
              </wp:anchor>
            </w:drawing>
          </mc:Choice>
          <mc:Fallback>
            <w:pict>
              <v:shape id="_x0000_s1026" o:spid="_x0000_s1026" o:spt="202" type="#_x0000_t202" style="position:absolute;left:0pt;margin-left:254.55pt;margin-top:2.8pt;height:39.35pt;width:66.75pt;z-index:252094464;mso-width-relative:page;mso-height-relative:page;" fillcolor="#FFFFFF" filled="t" stroked="t" coordsize="21600,21600" o:gfxdata="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i0xVbXAAAACAEAAA8AAAAAAAAAAQAgAAAAIgAAAGRycy9kb3ducmV2Lnht&#10;bFBLAQIUABQAAAAIAIdO4kAasta3+gEAAAMEAAAOAAAAAAAAAAEAIAAAACYBAABkcnMvZTJvRG9j&#10;LnhtbFBLBQYAAAAABgAGAFkBAACSBQAAAAA=&#10;">
                <v:fill on="t" focussize="0,0"/>
                <v:stroke color="#000000" joinstyle="miter"/>
                <v:imagedata o:title=""/>
                <o:lock v:ext="edit" aspectratio="f"/>
                <v:textbox>
                  <w:txbxContent>
                    <w:p>
                      <w:pPr>
                        <w:jc w:val="center"/>
                        <w:rPr>
                          <w:szCs w:val="21"/>
                        </w:rPr>
                      </w:pPr>
                      <w:r>
                        <w:rPr>
                          <w:rFonts w:hint="eastAsia"/>
                          <w:szCs w:val="21"/>
                        </w:rPr>
                        <w:t>收集池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82176" behindDoc="0" locked="0" layoutInCell="1" allowOverlap="1">
                <wp:simplePos x="0" y="0"/>
                <wp:positionH relativeFrom="column">
                  <wp:posOffset>4489450</wp:posOffset>
                </wp:positionH>
                <wp:positionV relativeFrom="paragraph">
                  <wp:posOffset>17780</wp:posOffset>
                </wp:positionV>
                <wp:extent cx="847725" cy="484505"/>
                <wp:effectExtent l="4445" t="4445" r="16510" b="13970"/>
                <wp:wrapNone/>
                <wp:docPr id="78" name="文本框 78"/>
                <wp:cNvGraphicFramePr/>
                <a:graphic xmlns:a="http://schemas.openxmlformats.org/drawingml/2006/main">
                  <a:graphicData uri="http://schemas.microsoft.com/office/word/2010/wordprocessingShape">
                    <wps:wsp>
                      <wps:cNvSpPr txBox="1"/>
                      <wps:spPr>
                        <a:xfrm>
                          <a:off x="0" y="0"/>
                          <a:ext cx="847725" cy="4850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絮凝沉淀池</w:t>
                            </w:r>
                          </w:p>
                        </w:txbxContent>
                      </wps:txbx>
                      <wps:bodyPr upright="1">
                        <a:noAutofit/>
                      </wps:bodyPr>
                    </wps:wsp>
                  </a:graphicData>
                </a:graphic>
              </wp:anchor>
            </w:drawing>
          </mc:Choice>
          <mc:Fallback>
            <w:pict>
              <v:shape id="_x0000_s1026" o:spid="_x0000_s1026" o:spt="202" type="#_x0000_t202" style="position:absolute;left:0pt;margin-left:353.5pt;margin-top:1.4pt;height:38.15pt;width:66.75pt;z-index:252082176;mso-width-relative:page;mso-height-relative:page;" fillcolor="#FFFFFF" filled="t" stroked="t" coordsize="21600,21600" o:gfxdata="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8C7JrXAAAACAEAAA8AAAAAAAAAAQAgAAAAIgAAAGRycy9kb3ducmV2&#10;LnhtbFBLAQIUABQAAAAIAIdO4kBgd4km/QEAAAMEAAAOAAAAAAAAAAEAIAAAACYBAABkcnMvZTJv&#10;RG9jLnhtbFBLBQYAAAAABgAGAFkBAACVBQAAAAA=&#10;">
                <v:fill on="t" focussize="0,0"/>
                <v:stroke color="#000000" joinstyle="miter"/>
                <v:imagedata o:title=""/>
                <o:lock v:ext="edit" aspectratio="f"/>
                <v:textbox>
                  <w:txbxContent>
                    <w:p>
                      <w:pPr>
                        <w:jc w:val="center"/>
                        <w:rPr>
                          <w:szCs w:val="21"/>
                        </w:rPr>
                      </w:pPr>
                      <w:r>
                        <w:rPr>
                          <w:rFonts w:hint="eastAsia"/>
                          <w:szCs w:val="21"/>
                        </w:rPr>
                        <w:t>絮凝沉淀池</w:t>
                      </w:r>
                    </w:p>
                  </w:txbxContent>
                </v:textbox>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92416" behindDoc="0" locked="0" layoutInCell="1" allowOverlap="1">
                <wp:simplePos x="0" y="0"/>
                <wp:positionH relativeFrom="column">
                  <wp:posOffset>2029460</wp:posOffset>
                </wp:positionH>
                <wp:positionV relativeFrom="paragraph">
                  <wp:posOffset>64135</wp:posOffset>
                </wp:positionV>
                <wp:extent cx="847725" cy="484505"/>
                <wp:effectExtent l="4445" t="4445" r="16510" b="13970"/>
                <wp:wrapNone/>
                <wp:docPr id="79" name="文本框 79"/>
                <wp:cNvGraphicFramePr/>
                <a:graphic xmlns:a="http://schemas.openxmlformats.org/drawingml/2006/main">
                  <a:graphicData uri="http://schemas.microsoft.com/office/word/2010/wordprocessingShape">
                    <wps:wsp>
                      <wps:cNvSpPr txBox="1"/>
                      <wps:spPr>
                        <a:xfrm>
                          <a:off x="0" y="0"/>
                          <a:ext cx="847725" cy="48502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柳林县污水处理厂</w:t>
                            </w:r>
                          </w:p>
                        </w:txbxContent>
                      </wps:txbx>
                      <wps:bodyPr upright="1">
                        <a:noAutofit/>
                      </wps:bodyPr>
                    </wps:wsp>
                  </a:graphicData>
                </a:graphic>
              </wp:anchor>
            </w:drawing>
          </mc:Choice>
          <mc:Fallback>
            <w:pict>
              <v:shape id="_x0000_s1026" o:spid="_x0000_s1026" o:spt="202" type="#_x0000_t202" style="position:absolute;left:0pt;margin-left:159.8pt;margin-top:5.05pt;height:38.15pt;width:66.75pt;z-index:252092416;mso-width-relative:page;mso-height-relative:page;" fillcolor="#FFFFFF" filled="t" stroked="t" coordsize="21600,21600" o:gfxdata="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IPEFTXAAAACQEAAA8AAAAAAAAAAQAgAAAAIgAAAGRycy9kb3ducmV2&#10;LnhtbFBLAQIUABQAAAAIAIdO4kARx0YU/QEAAAMEAAAOAAAAAAAAAAEAIAAAACYBAABkcnMvZTJv&#10;RG9jLnhtbFBLBQYAAAAABgAGAFkBAACVBQAAAAA=&#10;">
                <v:fill on="t" focussize="0,0"/>
                <v:stroke color="#000000" joinstyle="miter"/>
                <v:imagedata o:title=""/>
                <o:lock v:ext="edit" aspectratio="f"/>
                <v:textbox>
                  <w:txbxContent>
                    <w:p>
                      <w:pPr>
                        <w:jc w:val="center"/>
                        <w:rPr>
                          <w:szCs w:val="21"/>
                        </w:rPr>
                      </w:pPr>
                      <w:r>
                        <w:rPr>
                          <w:rFonts w:hint="eastAsia"/>
                          <w:szCs w:val="21"/>
                        </w:rPr>
                        <w:t>柳林县污水处理厂</w:t>
                      </w:r>
                    </w:p>
                  </w:txbxContent>
                </v:textbox>
              </v:shape>
            </w:pict>
          </mc:Fallback>
        </mc:AlternateContent>
      </w:r>
    </w:p>
    <w:p>
      <w:pPr>
        <w:adjustRightInd w:val="0"/>
        <w:snapToGrid w:val="0"/>
        <w:spacing w:line="48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2095488" behindDoc="0" locked="0" layoutInCell="1" allowOverlap="1">
                <wp:simplePos x="0" y="0"/>
                <wp:positionH relativeFrom="column">
                  <wp:posOffset>2862580</wp:posOffset>
                </wp:positionH>
                <wp:positionV relativeFrom="paragraph">
                  <wp:posOffset>101600</wp:posOffset>
                </wp:positionV>
                <wp:extent cx="368935" cy="0"/>
                <wp:effectExtent l="0" t="48895" r="12065" b="57785"/>
                <wp:wrapNone/>
                <wp:docPr id="80" name="直接箭头连接符 80"/>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225.4pt;margin-top:8pt;height:0pt;width:29.05pt;z-index:252095488;mso-width-relative:page;mso-height-relative:page;" filled="f" stroked="t" coordsize="21600,21600" o:gfxdata="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MszI9UAAAAJAQAADwAAAAAAAAABACAAAAAiAAAA&#10;ZHJzL2Rvd25yZXYueG1sUEsBAhQAFAAAAAgAh07iQOmdpwkKAgAAzwMAAA4AAAAAAAAAAQAgAAAA&#10;JAEAAGRycy9lMm9Eb2MueG1sUEsFBgAAAAAGAAYAWQEAAKAFAAAAAA==&#10;">
                <v:fill on="f" focussize="0,0"/>
                <v:stroke weight="0.5pt" color="#000000" miterlimit="8" joinstyle="miter" endarrow="open"/>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2093440" behindDoc="0" locked="0" layoutInCell="1" allowOverlap="1">
                <wp:simplePos x="0" y="0"/>
                <wp:positionH relativeFrom="column">
                  <wp:posOffset>4087495</wp:posOffset>
                </wp:positionH>
                <wp:positionV relativeFrom="paragraph">
                  <wp:posOffset>70485</wp:posOffset>
                </wp:positionV>
                <wp:extent cx="368935" cy="0"/>
                <wp:effectExtent l="0" t="48895" r="12065" b="57785"/>
                <wp:wrapNone/>
                <wp:docPr id="81" name="直接箭头连接符 81"/>
                <wp:cNvGraphicFramePr/>
                <a:graphic xmlns:a="http://schemas.openxmlformats.org/drawingml/2006/main">
                  <a:graphicData uri="http://schemas.microsoft.com/office/word/2010/wordprocessingShape">
                    <wps:wsp>
                      <wps:cNvCnPr/>
                      <wps:spPr>
                        <a:xfrm flipH="1">
                          <a:off x="0" y="0"/>
                          <a:ext cx="368935" cy="0"/>
                        </a:xfrm>
                        <a:prstGeom prst="straightConnector1">
                          <a:avLst/>
                        </a:prstGeom>
                        <a:noFill/>
                        <a:ln w="6350" cap="flat" cmpd="sng" algn="ctr">
                          <a:solidFill>
                            <a:sysClr val="windowText" lastClr="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x;margin-left:321.85pt;margin-top:5.55pt;height:0pt;width:29.05pt;z-index:252093440;mso-width-relative:page;mso-height-relative:page;" filled="f" stroked="t" coordsize="21600,21600" o:gfxdata="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YHmGDWAAAACQEAAA8AAAAAAAAAAQAgAAAAIgAA&#10;AGRycy9kb3ducmV2LnhtbFBLAQIUABQAAAAIAIdO4kC311WOCgIAAM8DAAAOAAAAAAAAAAEAIAAA&#10;ACUBAABkcnMvZTJvRG9jLnhtbFBLBQYAAAAABgAGAFkBAAChBQAAAAA=&#10;">
                <v:fill on="f" focussize="0,0"/>
                <v:stroke weight="0.5pt" color="#000000" miterlimit="8" joinstyle="miter" endarrow="open"/>
                <v:imagedata o:title=""/>
                <o:lock v:ext="edit" aspectratio="f"/>
              </v:shape>
            </w:pict>
          </mc:Fallback>
        </mc:AlternateContent>
      </w:r>
    </w:p>
    <w:p>
      <w:pPr>
        <w:adjustRightInd w:val="0"/>
        <w:snapToGrid w:val="0"/>
        <w:spacing w:line="480" w:lineRule="exact"/>
        <w:ind w:firstLine="482" w:firstLineChars="200"/>
        <w:jc w:val="center"/>
        <w:rPr>
          <w:rFonts w:ascii="Times New Roman" w:hAnsi="Times New Roman" w:eastAsia="宋体" w:cs="Times New Roman"/>
          <w:bCs/>
          <w:sz w:val="24"/>
          <w:szCs w:val="24"/>
        </w:rPr>
      </w:pPr>
      <w:r>
        <w:rPr>
          <w:rFonts w:ascii="Times New Roman" w:hAnsi="Times New Roman" w:eastAsia="宋体" w:cs="Times New Roman"/>
          <w:b/>
          <w:bCs w:val="0"/>
          <w:sz w:val="24"/>
          <w:szCs w:val="24"/>
        </w:rPr>
        <w:t>图</w:t>
      </w:r>
      <w:r>
        <w:rPr>
          <w:rFonts w:hint="eastAsia" w:ascii="Times New Roman" w:hAnsi="Times New Roman" w:eastAsia="宋体" w:cs="Times New Roman"/>
          <w:b/>
          <w:bCs w:val="0"/>
          <w:sz w:val="24"/>
          <w:szCs w:val="24"/>
          <w:lang w:val="en-US" w:eastAsia="zh-CN"/>
        </w:rPr>
        <w:t>6.1-1</w:t>
      </w:r>
      <w:r>
        <w:rPr>
          <w:rFonts w:ascii="Times New Roman" w:hAnsi="Times New Roman" w:eastAsia="宋体" w:cs="Times New Roman"/>
          <w:b/>
          <w:bCs w:val="0"/>
          <w:sz w:val="24"/>
          <w:szCs w:val="24"/>
        </w:rPr>
        <w:t xml:space="preserve">   污水处理工艺流程图</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污水处理工艺流程：</w:t>
      </w:r>
    </w:p>
    <w:p>
      <w:pPr>
        <w:adjustRightInd w:val="0"/>
        <w:snapToGrid w:val="0"/>
        <w:spacing w:line="48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各生产单元废水经格栅拦截水中较大的漂浮物后进入调节池，调节水体PH至6.8-7.2，用提升泵将废水排入水解酸化池，水解酸化工艺利用厌氧菌的分解作用，将水体中的大分子物质降解为小分子。经处理后的废水中COD得到有效降低，废水进入好氧池，好氧池利用微生物的呼吸作用，小分子有机物北彻底分解成二氧化氮和水等无机物，完成废水中大部分有机污染物的去除。接触氧化池出水流入反应池，在池中投加混凝剂，通过加药混凝沉淀作用出水可达标排放。</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ascii="Times New Roman" w:hAnsi="Times New Roman" w:eastAsia="宋体" w:cs="Times New Roman"/>
          <w:sz w:val="24"/>
          <w:szCs w:val="24"/>
        </w:rPr>
        <w:t>综上所述，本项目生产废水经污水处理站预处理后，COD排放浓度为420mg/L，BOD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排放浓度为90mg/L，SS排放浓度为160mg/L，NH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-N排放浓度为30mg/L，均可满足《污水排入城镇下水道水质标准》（GB/T 31962-2015）表1中</w:t>
      </w:r>
      <w:r>
        <w:rPr>
          <w:rFonts w:ascii="Times New Roman" w:hAnsi="Times New Roman" w:eastAsia="宋体" w:cs="Times New Roman"/>
          <w:b/>
          <w:bCs/>
          <w:sz w:val="24"/>
          <w:szCs w:val="24"/>
        </w:rPr>
        <w:t>A</w:t>
      </w:r>
      <w:r>
        <w:rPr>
          <w:rFonts w:ascii="Times New Roman" w:hAnsi="Times New Roman" w:eastAsia="宋体" w:cs="Times New Roman"/>
          <w:sz w:val="24"/>
          <w:szCs w:val="24"/>
        </w:rPr>
        <w:t>级标准限值，满足柳林县污水处理厂进水水质标准要求。</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7.2 监测计划</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ascii="Times New Roman" w:hAnsi="Times New Roman" w:eastAsia="宋体" w:cs="Times New Roman"/>
          <w:color w:val="000000"/>
          <w:sz w:val="24"/>
          <w:szCs w:val="24"/>
        </w:rPr>
        <w:t>通过工程分析可知，本项目无废水排放口，故本次评价未制定相关环境监测计划。</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8.地表水环境影响评价结论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本项目运营期严格执行上述水污染控制和水环境影响减缓措施后，可保证全厂区内无废水排放，不会对评价范围内地表水环境造成影响。从环境保护的角度分析，本工程对周围地表水环境影响较小。建设单位在认真落实本评价提出的各项环保措施后，项目建设对周围的地表水环境影响是可以接受的。</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p>
    <w:p>
      <w:pPr>
        <w:pStyle w:val="7"/>
        <w:spacing w:line="480" w:lineRule="exact"/>
        <w:ind w:firstLine="422"/>
        <w:jc w:val="center"/>
        <w:rPr>
          <w:rFonts w:hint="eastAsia" w:hAnsi="宋体"/>
          <w:b/>
          <w:bCs/>
          <w:sz w:val="24"/>
          <w:szCs w:val="24"/>
        </w:rPr>
      </w:pPr>
      <w:r>
        <w:rPr>
          <w:rFonts w:hint="eastAsia" w:hAnsi="宋体"/>
          <w:b/>
          <w:bCs/>
          <w:sz w:val="24"/>
          <w:szCs w:val="24"/>
        </w:rPr>
        <w:t>表</w:t>
      </w:r>
      <w:r>
        <w:rPr>
          <w:rFonts w:hint="eastAsia" w:hAnsi="宋体"/>
          <w:b/>
          <w:bCs/>
          <w:sz w:val="24"/>
          <w:szCs w:val="24"/>
          <w:lang w:val="en-US" w:eastAsia="zh-CN"/>
        </w:rPr>
        <w:t>1</w:t>
      </w:r>
      <w:r>
        <w:rPr>
          <w:rFonts w:hint="eastAsia" w:hAnsi="宋体"/>
          <w:b/>
          <w:bCs/>
          <w:sz w:val="24"/>
          <w:szCs w:val="24"/>
        </w:rPr>
        <w:t xml:space="preserve"> 地表水环境影响评价自查表</w:t>
      </w:r>
    </w:p>
    <w:tbl>
      <w:tblPr>
        <w:tblStyle w:val="21"/>
        <w:tblW w:w="924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232"/>
        <w:gridCol w:w="2114"/>
        <w:gridCol w:w="2114"/>
        <w:gridCol w:w="1421"/>
        <w:gridCol w:w="755"/>
        <w:gridCol w:w="587"/>
        <w:gridCol w:w="5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657" w:type="dxa"/>
            <w:gridSpan w:val="2"/>
            <w:noWrap w:val="0"/>
            <w:vAlign w:val="top"/>
          </w:tcPr>
          <w:p>
            <w:pPr>
              <w:jc w:val="center"/>
              <w:rPr>
                <w:rFonts w:hint="eastAsia"/>
                <w:szCs w:val="21"/>
              </w:rPr>
            </w:pPr>
            <w:r>
              <w:rPr>
                <w:rFonts w:hint="eastAsia"/>
                <w:szCs w:val="21"/>
              </w:rPr>
              <w:t>工作内容</w:t>
            </w:r>
          </w:p>
        </w:tc>
        <w:tc>
          <w:tcPr>
            <w:tcW w:w="7586" w:type="dxa"/>
            <w:gridSpan w:val="6"/>
            <w:noWrap w:val="0"/>
            <w:vAlign w:val="top"/>
          </w:tcPr>
          <w:p>
            <w:pPr>
              <w:jc w:val="center"/>
              <w:rPr>
                <w:rFonts w:hint="eastAsia"/>
                <w:szCs w:val="21"/>
              </w:rPr>
            </w:pPr>
            <w:r>
              <w:rPr>
                <w:rFonts w:hint="eastAsia"/>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restart"/>
            <w:noWrap w:val="0"/>
            <w:vAlign w:val="center"/>
          </w:tcPr>
          <w:p>
            <w:pPr>
              <w:jc w:val="center"/>
              <w:rPr>
                <w:rFonts w:hint="eastAsia"/>
                <w:szCs w:val="21"/>
              </w:rPr>
            </w:pPr>
            <w:r>
              <w:rPr>
                <w:rFonts w:hint="eastAsia"/>
                <w:szCs w:val="21"/>
              </w:rPr>
              <w:t>影响识别</w:t>
            </w:r>
          </w:p>
        </w:tc>
        <w:tc>
          <w:tcPr>
            <w:tcW w:w="1232" w:type="dxa"/>
            <w:noWrap w:val="0"/>
            <w:vAlign w:val="top"/>
          </w:tcPr>
          <w:p>
            <w:pPr>
              <w:rPr>
                <w:rFonts w:hint="eastAsia"/>
                <w:szCs w:val="21"/>
              </w:rPr>
            </w:pPr>
            <w:r>
              <w:rPr>
                <w:rFonts w:hint="eastAsia"/>
                <w:szCs w:val="21"/>
              </w:rPr>
              <w:t>影响类型</w:t>
            </w:r>
          </w:p>
        </w:tc>
        <w:tc>
          <w:tcPr>
            <w:tcW w:w="7586" w:type="dxa"/>
            <w:gridSpan w:val="6"/>
            <w:noWrap w:val="0"/>
            <w:vAlign w:val="top"/>
          </w:tcPr>
          <w:p>
            <w:pPr>
              <w:rPr>
                <w:rFonts w:hint="eastAsia"/>
                <w:szCs w:val="21"/>
              </w:rPr>
            </w:pPr>
            <w:r>
              <w:rPr>
                <w:rFonts w:hint="eastAsia"/>
                <w:szCs w:val="21"/>
              </w:rPr>
              <w:t>水污染影响型</w:t>
            </w:r>
            <w:r>
              <w:rPr>
                <w:rFonts w:hint="eastAsia"/>
                <w:szCs w:val="21"/>
              </w:rPr>
              <w:sym w:font="Wingdings" w:char="00FE"/>
            </w:r>
            <w:r>
              <w:rPr>
                <w:rFonts w:hint="eastAsia"/>
                <w:szCs w:val="21"/>
              </w:rPr>
              <w:t xml:space="preserve">  水文要素影响型</w:t>
            </w:r>
            <w:r>
              <w:rPr>
                <w:rFonts w:hint="eastAsia"/>
                <w:szCs w:val="21"/>
              </w:rPr>
              <w:sym w:font="Wingdings" w:char="00A8"/>
            </w:r>
            <w:r>
              <w:rPr>
                <w:rFonts w:hint="eastAsia"/>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top"/>
          </w:tcPr>
          <w:p>
            <w:pPr>
              <w:rPr>
                <w:rFonts w:hint="eastAsia"/>
                <w:szCs w:val="21"/>
              </w:rPr>
            </w:pPr>
          </w:p>
        </w:tc>
        <w:tc>
          <w:tcPr>
            <w:tcW w:w="1232" w:type="dxa"/>
            <w:noWrap w:val="0"/>
            <w:vAlign w:val="center"/>
          </w:tcPr>
          <w:p>
            <w:pPr>
              <w:jc w:val="center"/>
              <w:rPr>
                <w:rFonts w:hint="eastAsia"/>
                <w:szCs w:val="21"/>
              </w:rPr>
            </w:pPr>
            <w:r>
              <w:rPr>
                <w:rFonts w:hint="eastAsia"/>
                <w:szCs w:val="21"/>
              </w:rPr>
              <w:t>水环境保护目标</w:t>
            </w:r>
          </w:p>
        </w:tc>
        <w:tc>
          <w:tcPr>
            <w:tcW w:w="7586" w:type="dxa"/>
            <w:gridSpan w:val="6"/>
            <w:noWrap w:val="0"/>
            <w:vAlign w:val="top"/>
          </w:tcPr>
          <w:p>
            <w:pPr>
              <w:rPr>
                <w:rFonts w:hint="eastAsia"/>
                <w:szCs w:val="21"/>
              </w:rPr>
            </w:pPr>
            <w:r>
              <w:rPr>
                <w:rFonts w:hint="eastAsia"/>
                <w:szCs w:val="21"/>
              </w:rPr>
              <w:t>饮用水水源保护区</w:t>
            </w:r>
            <w:r>
              <w:rPr>
                <w:rFonts w:hint="eastAsia"/>
                <w:szCs w:val="21"/>
              </w:rPr>
              <w:sym w:font="Wingdings" w:char="00A8"/>
            </w:r>
            <w:r>
              <w:rPr>
                <w:rFonts w:hint="eastAsia"/>
                <w:szCs w:val="21"/>
              </w:rPr>
              <w:t>；饮用水取水</w:t>
            </w:r>
            <w:r>
              <w:rPr>
                <w:rFonts w:hint="eastAsia"/>
                <w:szCs w:val="21"/>
              </w:rPr>
              <w:sym w:font="Wingdings" w:char="00A8"/>
            </w:r>
            <w:r>
              <w:rPr>
                <w:rFonts w:hint="eastAsia"/>
                <w:szCs w:val="21"/>
                <w:lang w:val="en-US" w:eastAsia="zh-CN"/>
              </w:rPr>
              <w:t xml:space="preserve"> </w:t>
            </w:r>
            <w:r>
              <w:rPr>
                <w:rFonts w:hint="eastAsia"/>
                <w:szCs w:val="21"/>
              </w:rPr>
              <w:t>；涉水自然保护区</w:t>
            </w:r>
            <w:r>
              <w:rPr>
                <w:rFonts w:hint="eastAsia"/>
                <w:szCs w:val="21"/>
              </w:rPr>
              <w:sym w:font="Wingdings" w:char="00A8"/>
            </w:r>
            <w:r>
              <w:rPr>
                <w:rFonts w:hint="eastAsia"/>
                <w:szCs w:val="21"/>
              </w:rPr>
              <w:t xml:space="preserve"> ；重要湿地</w:t>
            </w:r>
            <w:r>
              <w:rPr>
                <w:rFonts w:hint="eastAsia"/>
                <w:szCs w:val="21"/>
              </w:rPr>
              <w:sym w:font="Wingdings" w:char="00A8"/>
            </w:r>
            <w:r>
              <w:rPr>
                <w:rFonts w:hint="eastAsia"/>
                <w:szCs w:val="21"/>
              </w:rPr>
              <w:t xml:space="preserve"> ；重点保护与珍稀水生生物的栖息地</w:t>
            </w:r>
            <w:r>
              <w:rPr>
                <w:rFonts w:hint="eastAsia"/>
                <w:szCs w:val="21"/>
              </w:rPr>
              <w:sym w:font="Wingdings" w:char="00A8"/>
            </w:r>
            <w:r>
              <w:rPr>
                <w:rFonts w:hint="eastAsia"/>
                <w:szCs w:val="21"/>
              </w:rPr>
              <w:t xml:space="preserve"> ；重要水生生物的自然产卵场及索饵场、越冬场和洄游通道、天然渔场等渔业水体</w:t>
            </w:r>
            <w:r>
              <w:rPr>
                <w:rFonts w:hint="eastAsia"/>
                <w:szCs w:val="21"/>
              </w:rPr>
              <w:sym w:font="Wingdings" w:char="00A8"/>
            </w:r>
            <w:r>
              <w:rPr>
                <w:rFonts w:hint="eastAsia"/>
                <w:szCs w:val="21"/>
              </w:rPr>
              <w:t xml:space="preserve"> ；涉水的风景名胜区</w:t>
            </w:r>
            <w:r>
              <w:rPr>
                <w:rFonts w:hint="eastAsia"/>
                <w:szCs w:val="21"/>
              </w:rPr>
              <w:sym w:font="Wingdings" w:char="00A8"/>
            </w:r>
            <w:r>
              <w:rPr>
                <w:rFonts w:hint="eastAsia"/>
                <w:szCs w:val="21"/>
              </w:rPr>
              <w:t xml:space="preserve"> ；其他</w:t>
            </w:r>
            <w:r>
              <w:rPr>
                <w:rFonts w:hint="eastAsia"/>
                <w:szCs w:val="21"/>
              </w:rPr>
              <w:sym w:font="Wingdings" w:char="00FE"/>
            </w:r>
            <w:r>
              <w:rPr>
                <w:rFonts w:hint="eastAsia"/>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top"/>
          </w:tcPr>
          <w:p>
            <w:pPr>
              <w:rPr>
                <w:rFonts w:hint="eastAsia"/>
                <w:szCs w:val="21"/>
              </w:rPr>
            </w:pPr>
          </w:p>
        </w:tc>
        <w:tc>
          <w:tcPr>
            <w:tcW w:w="1232" w:type="dxa"/>
            <w:vMerge w:val="restart"/>
            <w:noWrap w:val="0"/>
            <w:vAlign w:val="center"/>
          </w:tcPr>
          <w:p>
            <w:pPr>
              <w:jc w:val="center"/>
              <w:rPr>
                <w:rFonts w:hint="eastAsia"/>
                <w:szCs w:val="21"/>
              </w:rPr>
            </w:pPr>
            <w:r>
              <w:rPr>
                <w:rFonts w:hint="eastAsia"/>
                <w:szCs w:val="21"/>
              </w:rPr>
              <w:t>影响途径</w:t>
            </w:r>
          </w:p>
        </w:tc>
        <w:tc>
          <w:tcPr>
            <w:tcW w:w="4228" w:type="dxa"/>
            <w:gridSpan w:val="2"/>
            <w:noWrap w:val="0"/>
            <w:vAlign w:val="top"/>
          </w:tcPr>
          <w:p>
            <w:pPr>
              <w:rPr>
                <w:rFonts w:hint="eastAsia"/>
                <w:szCs w:val="21"/>
              </w:rPr>
            </w:pPr>
            <w:r>
              <w:rPr>
                <w:rFonts w:hint="eastAsia"/>
                <w:szCs w:val="21"/>
              </w:rPr>
              <w:t>水污染影响型</w:t>
            </w:r>
          </w:p>
        </w:tc>
        <w:tc>
          <w:tcPr>
            <w:tcW w:w="3358" w:type="dxa"/>
            <w:gridSpan w:val="4"/>
            <w:noWrap w:val="0"/>
            <w:vAlign w:val="top"/>
          </w:tcPr>
          <w:p>
            <w:pPr>
              <w:rPr>
                <w:rFonts w:hint="eastAsia"/>
                <w:szCs w:val="21"/>
              </w:rPr>
            </w:pPr>
            <w:r>
              <w:rPr>
                <w:rFonts w:hint="eastAsia"/>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top"/>
          </w:tcPr>
          <w:p>
            <w:pPr>
              <w:rPr>
                <w:szCs w:val="21"/>
              </w:rPr>
            </w:pPr>
          </w:p>
        </w:tc>
        <w:tc>
          <w:tcPr>
            <w:tcW w:w="1232" w:type="dxa"/>
            <w:vMerge w:val="continue"/>
            <w:noWrap w:val="0"/>
            <w:vAlign w:val="center"/>
          </w:tcPr>
          <w:p>
            <w:pPr>
              <w:jc w:val="center"/>
              <w:rPr>
                <w:szCs w:val="21"/>
              </w:rPr>
            </w:pPr>
          </w:p>
        </w:tc>
        <w:tc>
          <w:tcPr>
            <w:tcW w:w="4228" w:type="dxa"/>
            <w:gridSpan w:val="2"/>
            <w:noWrap w:val="0"/>
            <w:vAlign w:val="top"/>
          </w:tcPr>
          <w:p>
            <w:pPr>
              <w:rPr>
                <w:rFonts w:hint="eastAsia"/>
                <w:szCs w:val="21"/>
              </w:rPr>
            </w:pPr>
            <w:r>
              <w:rPr>
                <w:rFonts w:hint="eastAsia"/>
                <w:szCs w:val="21"/>
              </w:rPr>
              <w:t>直接排放</w:t>
            </w:r>
            <w:r>
              <w:rPr>
                <w:rFonts w:hint="eastAsia"/>
                <w:szCs w:val="21"/>
              </w:rPr>
              <w:sym w:font="Wingdings" w:char="00A8"/>
            </w:r>
            <w:r>
              <w:rPr>
                <w:rFonts w:hint="eastAsia"/>
                <w:szCs w:val="21"/>
              </w:rPr>
              <w:t xml:space="preserve"> ；间接排放</w:t>
            </w:r>
            <w:r>
              <w:rPr>
                <w:rFonts w:hint="eastAsia"/>
                <w:szCs w:val="21"/>
              </w:rPr>
              <w:sym w:font="Wingdings" w:char="00FE"/>
            </w:r>
            <w:r>
              <w:rPr>
                <w:rFonts w:hint="eastAsia"/>
                <w:szCs w:val="21"/>
                <w:lang w:val="en-US" w:eastAsia="zh-CN"/>
              </w:rPr>
              <w:t xml:space="preserve"> </w:t>
            </w:r>
            <w:r>
              <w:rPr>
                <w:rFonts w:hint="eastAsia"/>
                <w:szCs w:val="21"/>
              </w:rPr>
              <w:t>；其他</w:t>
            </w:r>
            <w:r>
              <w:rPr>
                <w:rFonts w:hint="eastAsia"/>
                <w:szCs w:val="21"/>
              </w:rPr>
              <w:sym w:font="Wingdings" w:char="00A8"/>
            </w:r>
            <w:r>
              <w:rPr>
                <w:rFonts w:hint="eastAsia"/>
                <w:szCs w:val="21"/>
              </w:rPr>
              <w:t xml:space="preserve"> </w:t>
            </w:r>
          </w:p>
        </w:tc>
        <w:tc>
          <w:tcPr>
            <w:tcW w:w="3358" w:type="dxa"/>
            <w:gridSpan w:val="4"/>
            <w:noWrap w:val="0"/>
            <w:vAlign w:val="top"/>
          </w:tcPr>
          <w:p>
            <w:pPr>
              <w:rPr>
                <w:rFonts w:hint="eastAsia"/>
                <w:szCs w:val="21"/>
              </w:rPr>
            </w:pPr>
            <w:r>
              <w:rPr>
                <w:rFonts w:hint="eastAsia"/>
                <w:szCs w:val="21"/>
              </w:rPr>
              <w:t>水文</w:t>
            </w:r>
            <w:r>
              <w:rPr>
                <w:rFonts w:hint="eastAsia"/>
                <w:szCs w:val="21"/>
              </w:rPr>
              <w:sym w:font="Wingdings" w:char="00A8"/>
            </w:r>
            <w:r>
              <w:rPr>
                <w:rFonts w:hint="eastAsia"/>
                <w:szCs w:val="21"/>
              </w:rPr>
              <w:t xml:space="preserve"> ；径流</w:t>
            </w:r>
            <w:r>
              <w:rPr>
                <w:rFonts w:hint="eastAsia"/>
                <w:szCs w:val="21"/>
              </w:rPr>
              <w:sym w:font="Wingdings" w:char="00A8"/>
            </w:r>
            <w:r>
              <w:rPr>
                <w:rFonts w:hint="eastAsia"/>
                <w:szCs w:val="21"/>
              </w:rPr>
              <w:t xml:space="preserve"> ；水域面积</w:t>
            </w:r>
            <w:r>
              <w:rPr>
                <w:rFonts w:hint="eastAsia"/>
                <w:szCs w:val="21"/>
              </w:rPr>
              <w:sym w:font="Wingdings" w:char="00A8"/>
            </w:r>
            <w:r>
              <w:rPr>
                <w:rFonts w:hint="eastAsia"/>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top"/>
          </w:tcPr>
          <w:p>
            <w:pPr>
              <w:rPr>
                <w:rFonts w:hint="eastAsia"/>
                <w:szCs w:val="21"/>
              </w:rPr>
            </w:pPr>
          </w:p>
        </w:tc>
        <w:tc>
          <w:tcPr>
            <w:tcW w:w="1232" w:type="dxa"/>
            <w:noWrap w:val="0"/>
            <w:vAlign w:val="center"/>
          </w:tcPr>
          <w:p>
            <w:pPr>
              <w:jc w:val="center"/>
              <w:rPr>
                <w:rFonts w:hint="eastAsia"/>
                <w:szCs w:val="21"/>
              </w:rPr>
            </w:pPr>
            <w:r>
              <w:rPr>
                <w:rFonts w:hint="eastAsia"/>
                <w:szCs w:val="21"/>
              </w:rPr>
              <w:t>影响因子</w:t>
            </w:r>
          </w:p>
        </w:tc>
        <w:tc>
          <w:tcPr>
            <w:tcW w:w="4228" w:type="dxa"/>
            <w:gridSpan w:val="2"/>
            <w:noWrap w:val="0"/>
            <w:vAlign w:val="top"/>
          </w:tcPr>
          <w:p>
            <w:pPr>
              <w:rPr>
                <w:rFonts w:hint="eastAsia"/>
                <w:szCs w:val="21"/>
              </w:rPr>
            </w:pPr>
            <w:r>
              <w:rPr>
                <w:rFonts w:hint="eastAsia"/>
                <w:szCs w:val="21"/>
              </w:rPr>
              <w:t>持久性污染物</w:t>
            </w:r>
            <w:r>
              <w:rPr>
                <w:rFonts w:hint="eastAsia"/>
                <w:szCs w:val="21"/>
              </w:rPr>
              <w:sym w:font="Wingdings" w:char="00A8"/>
            </w:r>
            <w:r>
              <w:rPr>
                <w:rFonts w:hint="eastAsia"/>
                <w:szCs w:val="21"/>
              </w:rPr>
              <w:t xml:space="preserve"> ；有毒有害污染物</w:t>
            </w:r>
            <w:r>
              <w:rPr>
                <w:rFonts w:hint="eastAsia"/>
                <w:szCs w:val="21"/>
              </w:rPr>
              <w:sym w:font="Wingdings" w:char="00A8"/>
            </w:r>
            <w:r>
              <w:rPr>
                <w:rFonts w:hint="eastAsia"/>
                <w:szCs w:val="21"/>
              </w:rPr>
              <w:t xml:space="preserve"> ；非持久性污染物</w:t>
            </w:r>
            <w:r>
              <w:rPr>
                <w:rFonts w:hint="eastAsia"/>
                <w:szCs w:val="21"/>
              </w:rPr>
              <w:sym w:font="Wingdings" w:char="00FE"/>
            </w:r>
            <w:r>
              <w:rPr>
                <w:rFonts w:hint="eastAsia"/>
                <w:szCs w:val="21"/>
              </w:rPr>
              <w:t xml:space="preserve"> ；pH值</w:t>
            </w:r>
            <w:r>
              <w:rPr>
                <w:rFonts w:hint="eastAsia"/>
                <w:szCs w:val="21"/>
              </w:rPr>
              <w:sym w:font="Wingdings" w:char="00A8"/>
            </w:r>
            <w:r>
              <w:rPr>
                <w:rFonts w:hint="eastAsia"/>
                <w:szCs w:val="21"/>
              </w:rPr>
              <w:t xml:space="preserve"> ；热污染</w:t>
            </w:r>
            <w:r>
              <w:rPr>
                <w:rFonts w:hint="eastAsia"/>
                <w:szCs w:val="21"/>
              </w:rPr>
              <w:sym w:font="Wingdings" w:char="00A8"/>
            </w:r>
            <w:r>
              <w:rPr>
                <w:rFonts w:hint="eastAsia"/>
                <w:szCs w:val="21"/>
              </w:rPr>
              <w:t xml:space="preserve"> ；富营养化</w:t>
            </w:r>
            <w:r>
              <w:rPr>
                <w:rFonts w:hint="eastAsia"/>
                <w:szCs w:val="21"/>
              </w:rPr>
              <w:sym w:font="Wingdings" w:char="00A8"/>
            </w:r>
            <w:r>
              <w:rPr>
                <w:rFonts w:hint="eastAsia"/>
                <w:szCs w:val="21"/>
              </w:rPr>
              <w:t xml:space="preserve"> ；其他</w:t>
            </w:r>
            <w:r>
              <w:rPr>
                <w:rFonts w:hint="eastAsia"/>
                <w:szCs w:val="21"/>
              </w:rPr>
              <w:sym w:font="Wingdings" w:char="00A8"/>
            </w:r>
            <w:r>
              <w:rPr>
                <w:rFonts w:hint="eastAsia"/>
                <w:szCs w:val="21"/>
              </w:rPr>
              <w:t xml:space="preserve"> </w:t>
            </w:r>
          </w:p>
        </w:tc>
        <w:tc>
          <w:tcPr>
            <w:tcW w:w="3358" w:type="dxa"/>
            <w:gridSpan w:val="4"/>
            <w:noWrap w:val="0"/>
            <w:vAlign w:val="top"/>
          </w:tcPr>
          <w:p>
            <w:pPr>
              <w:rPr>
                <w:rFonts w:hint="eastAsia"/>
                <w:szCs w:val="21"/>
              </w:rPr>
            </w:pPr>
            <w:r>
              <w:rPr>
                <w:rFonts w:hint="eastAsia"/>
                <w:szCs w:val="21"/>
              </w:rPr>
              <w:t>水温</w:t>
            </w:r>
            <w:r>
              <w:rPr>
                <w:rFonts w:hint="eastAsia"/>
                <w:szCs w:val="21"/>
              </w:rPr>
              <w:sym w:font="Wingdings" w:char="00A8"/>
            </w:r>
            <w:r>
              <w:rPr>
                <w:rFonts w:hint="eastAsia"/>
                <w:szCs w:val="21"/>
              </w:rPr>
              <w:t xml:space="preserve"> ；水位（水深）</w:t>
            </w:r>
            <w:r>
              <w:rPr>
                <w:rFonts w:hint="eastAsia"/>
                <w:szCs w:val="21"/>
              </w:rPr>
              <w:sym w:font="Wingdings" w:char="00A8"/>
            </w:r>
            <w:r>
              <w:rPr>
                <w:rFonts w:hint="eastAsia"/>
                <w:szCs w:val="21"/>
              </w:rPr>
              <w:t xml:space="preserve"> ；流速</w:t>
            </w:r>
            <w:r>
              <w:rPr>
                <w:rFonts w:hint="eastAsia"/>
                <w:szCs w:val="21"/>
              </w:rPr>
              <w:sym w:font="Wingdings" w:char="00A8"/>
            </w:r>
            <w:r>
              <w:rPr>
                <w:rFonts w:hint="eastAsia"/>
                <w:szCs w:val="21"/>
              </w:rPr>
              <w:t xml:space="preserve"> ；流量</w:t>
            </w:r>
            <w:r>
              <w:rPr>
                <w:rFonts w:hint="eastAsia"/>
                <w:szCs w:val="21"/>
              </w:rPr>
              <w:sym w:font="Wingdings" w:char="00A8"/>
            </w:r>
            <w:r>
              <w:rPr>
                <w:rFonts w:hint="eastAsia"/>
                <w:szCs w:val="21"/>
              </w:rPr>
              <w:t xml:space="preserve"> ；其他</w:t>
            </w:r>
            <w:r>
              <w:rPr>
                <w:rFonts w:hint="eastAsia"/>
                <w:szCs w:val="21"/>
              </w:rPr>
              <w:sym w:font="Wingdings" w:char="00A8"/>
            </w:r>
            <w:r>
              <w:rPr>
                <w:rFonts w:hint="eastAsia"/>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1657" w:type="dxa"/>
            <w:gridSpan w:val="2"/>
            <w:vMerge w:val="restart"/>
            <w:noWrap w:val="0"/>
            <w:vAlign w:val="center"/>
          </w:tcPr>
          <w:p>
            <w:pPr>
              <w:jc w:val="center"/>
              <w:rPr>
                <w:rFonts w:hint="eastAsia"/>
                <w:szCs w:val="21"/>
              </w:rPr>
            </w:pPr>
            <w:r>
              <w:rPr>
                <w:rFonts w:hint="eastAsia"/>
                <w:szCs w:val="21"/>
              </w:rPr>
              <w:t>评价等级</w:t>
            </w:r>
          </w:p>
        </w:tc>
        <w:tc>
          <w:tcPr>
            <w:tcW w:w="4228" w:type="dxa"/>
            <w:gridSpan w:val="2"/>
            <w:noWrap w:val="0"/>
            <w:vAlign w:val="top"/>
          </w:tcPr>
          <w:p>
            <w:pPr>
              <w:rPr>
                <w:rFonts w:hint="eastAsia"/>
                <w:szCs w:val="21"/>
              </w:rPr>
            </w:pPr>
            <w:r>
              <w:rPr>
                <w:rFonts w:hint="eastAsia"/>
                <w:szCs w:val="21"/>
              </w:rPr>
              <w:t>水污染影响型</w:t>
            </w:r>
          </w:p>
        </w:tc>
        <w:tc>
          <w:tcPr>
            <w:tcW w:w="3358" w:type="dxa"/>
            <w:gridSpan w:val="4"/>
            <w:noWrap w:val="0"/>
            <w:vAlign w:val="top"/>
          </w:tcPr>
          <w:p>
            <w:pPr>
              <w:rPr>
                <w:rFonts w:hint="eastAsia"/>
                <w:szCs w:val="21"/>
              </w:rPr>
            </w:pPr>
            <w:r>
              <w:rPr>
                <w:rFonts w:hint="eastAsia"/>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1657" w:type="dxa"/>
            <w:gridSpan w:val="2"/>
            <w:vMerge w:val="continue"/>
            <w:noWrap w:val="0"/>
            <w:vAlign w:val="center"/>
          </w:tcPr>
          <w:p>
            <w:pPr>
              <w:jc w:val="center"/>
              <w:rPr>
                <w:szCs w:val="21"/>
              </w:rPr>
            </w:pPr>
          </w:p>
        </w:tc>
        <w:tc>
          <w:tcPr>
            <w:tcW w:w="4228" w:type="dxa"/>
            <w:gridSpan w:val="2"/>
            <w:noWrap w:val="0"/>
            <w:vAlign w:val="top"/>
          </w:tcPr>
          <w:p>
            <w:pPr>
              <w:rPr>
                <w:rFonts w:hint="eastAsia"/>
                <w:szCs w:val="21"/>
              </w:rPr>
            </w:pPr>
            <w:r>
              <w:rPr>
                <w:rFonts w:hint="eastAsia"/>
                <w:szCs w:val="21"/>
              </w:rPr>
              <w:t>一级</w:t>
            </w:r>
            <w:r>
              <w:rPr>
                <w:rFonts w:hint="eastAsia"/>
                <w:szCs w:val="21"/>
              </w:rPr>
              <w:sym w:font="Wingdings" w:char="00A8"/>
            </w:r>
            <w:r>
              <w:rPr>
                <w:rFonts w:hint="eastAsia"/>
                <w:szCs w:val="21"/>
              </w:rPr>
              <w:t>；二级</w:t>
            </w:r>
            <w:r>
              <w:rPr>
                <w:rFonts w:hint="eastAsia"/>
                <w:szCs w:val="21"/>
              </w:rPr>
              <w:sym w:font="Wingdings" w:char="00A8"/>
            </w:r>
            <w:r>
              <w:rPr>
                <w:rFonts w:hint="eastAsia"/>
                <w:szCs w:val="21"/>
              </w:rPr>
              <w:t>；三级A</w:t>
            </w:r>
            <w:r>
              <w:rPr>
                <w:rFonts w:hint="eastAsia"/>
                <w:szCs w:val="21"/>
              </w:rPr>
              <w:sym w:font="Wingdings" w:char="00A8"/>
            </w:r>
            <w:r>
              <w:rPr>
                <w:rFonts w:hint="eastAsia"/>
                <w:szCs w:val="21"/>
              </w:rPr>
              <w:t>；三级B</w:t>
            </w:r>
            <w:r>
              <w:rPr>
                <w:rFonts w:hint="eastAsia"/>
                <w:szCs w:val="21"/>
              </w:rPr>
              <w:sym w:font="Wingdings" w:char="00FE"/>
            </w:r>
          </w:p>
        </w:tc>
        <w:tc>
          <w:tcPr>
            <w:tcW w:w="3358" w:type="dxa"/>
            <w:gridSpan w:val="4"/>
            <w:noWrap w:val="0"/>
            <w:vAlign w:val="top"/>
          </w:tcPr>
          <w:p>
            <w:pPr>
              <w:rPr>
                <w:rFonts w:hint="eastAsia"/>
                <w:szCs w:val="21"/>
              </w:rPr>
            </w:pPr>
            <w:r>
              <w:rPr>
                <w:rFonts w:hint="eastAsia"/>
                <w:szCs w:val="21"/>
              </w:rPr>
              <w:t>一级</w:t>
            </w:r>
            <w:r>
              <w:rPr>
                <w:rFonts w:hint="eastAsia"/>
                <w:szCs w:val="21"/>
              </w:rPr>
              <w:sym w:font="Wingdings" w:char="00A8"/>
            </w:r>
            <w:r>
              <w:rPr>
                <w:rFonts w:hint="eastAsia"/>
                <w:szCs w:val="21"/>
              </w:rPr>
              <w:t>；二级</w:t>
            </w:r>
            <w:r>
              <w:rPr>
                <w:rFonts w:hint="eastAsia"/>
                <w:szCs w:val="21"/>
              </w:rPr>
              <w:sym w:font="Wingdings" w:char="00A8"/>
            </w:r>
            <w:r>
              <w:rPr>
                <w:rFonts w:hint="eastAsia"/>
                <w:szCs w:val="21"/>
              </w:rPr>
              <w:t>；三级</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trPr>
        <w:tc>
          <w:tcPr>
            <w:tcW w:w="425" w:type="dxa"/>
            <w:vMerge w:val="restart"/>
            <w:noWrap w:val="0"/>
            <w:vAlign w:val="center"/>
          </w:tcPr>
          <w:p>
            <w:pPr>
              <w:jc w:val="center"/>
              <w:rPr>
                <w:rFonts w:hint="eastAsia"/>
                <w:szCs w:val="21"/>
              </w:rPr>
            </w:pPr>
            <w:r>
              <w:rPr>
                <w:rFonts w:hint="eastAsia"/>
                <w:szCs w:val="21"/>
              </w:rPr>
              <w:t>现状调查</w:t>
            </w:r>
          </w:p>
        </w:tc>
        <w:tc>
          <w:tcPr>
            <w:tcW w:w="1232" w:type="dxa"/>
            <w:vMerge w:val="restart"/>
            <w:noWrap w:val="0"/>
            <w:vAlign w:val="center"/>
          </w:tcPr>
          <w:p>
            <w:pPr>
              <w:jc w:val="center"/>
              <w:rPr>
                <w:rFonts w:hint="eastAsia"/>
                <w:szCs w:val="21"/>
              </w:rPr>
            </w:pPr>
            <w:r>
              <w:rPr>
                <w:rFonts w:hint="eastAsia"/>
                <w:szCs w:val="21"/>
              </w:rPr>
              <w:t>区域污染源</w:t>
            </w:r>
          </w:p>
        </w:tc>
        <w:tc>
          <w:tcPr>
            <w:tcW w:w="4228" w:type="dxa"/>
            <w:gridSpan w:val="2"/>
            <w:noWrap w:val="0"/>
            <w:vAlign w:val="center"/>
          </w:tcPr>
          <w:p>
            <w:pPr>
              <w:jc w:val="center"/>
              <w:rPr>
                <w:rFonts w:hint="eastAsia"/>
                <w:szCs w:val="21"/>
              </w:rPr>
            </w:pPr>
            <w:r>
              <w:rPr>
                <w:rFonts w:hint="eastAsia"/>
                <w:szCs w:val="21"/>
              </w:rPr>
              <w:t>调查项目</w:t>
            </w:r>
          </w:p>
        </w:tc>
        <w:tc>
          <w:tcPr>
            <w:tcW w:w="3358" w:type="dxa"/>
            <w:gridSpan w:val="4"/>
            <w:noWrap w:val="0"/>
            <w:vAlign w:val="center"/>
          </w:tcPr>
          <w:p>
            <w:pPr>
              <w:jc w:val="center"/>
              <w:rPr>
                <w:rFonts w:hint="eastAsia"/>
                <w:szCs w:val="21"/>
              </w:rPr>
            </w:pPr>
            <w:r>
              <w:rPr>
                <w:rFonts w:hint="eastAsia"/>
                <w:szCs w:val="21"/>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trPr>
        <w:tc>
          <w:tcPr>
            <w:tcW w:w="425" w:type="dxa"/>
            <w:vMerge w:val="continue"/>
            <w:noWrap w:val="0"/>
            <w:vAlign w:val="center"/>
          </w:tcPr>
          <w:p>
            <w:pPr>
              <w:jc w:val="center"/>
              <w:rPr>
                <w:szCs w:val="21"/>
              </w:rPr>
            </w:pPr>
          </w:p>
        </w:tc>
        <w:tc>
          <w:tcPr>
            <w:tcW w:w="1232" w:type="dxa"/>
            <w:vMerge w:val="continue"/>
            <w:noWrap w:val="0"/>
            <w:vAlign w:val="center"/>
          </w:tcPr>
          <w:p>
            <w:pPr>
              <w:jc w:val="center"/>
              <w:rPr>
                <w:szCs w:val="21"/>
              </w:rPr>
            </w:pPr>
          </w:p>
        </w:tc>
        <w:tc>
          <w:tcPr>
            <w:tcW w:w="2114" w:type="dxa"/>
            <w:noWrap w:val="0"/>
            <w:vAlign w:val="top"/>
          </w:tcPr>
          <w:p>
            <w:pPr>
              <w:rPr>
                <w:rFonts w:hint="eastAsia"/>
                <w:szCs w:val="21"/>
              </w:rPr>
            </w:pPr>
            <w:r>
              <w:rPr>
                <w:rFonts w:hint="eastAsia"/>
                <w:szCs w:val="21"/>
              </w:rPr>
              <w:t>已建</w:t>
            </w:r>
            <w:r>
              <w:rPr>
                <w:rFonts w:hint="eastAsia"/>
                <w:szCs w:val="21"/>
              </w:rPr>
              <w:sym w:font="Wingdings" w:char="00A8"/>
            </w:r>
            <w:r>
              <w:rPr>
                <w:rFonts w:hint="eastAsia"/>
                <w:szCs w:val="21"/>
              </w:rPr>
              <w:t>；在建</w:t>
            </w:r>
            <w:r>
              <w:rPr>
                <w:rFonts w:hint="eastAsia"/>
                <w:szCs w:val="21"/>
              </w:rPr>
              <w:sym w:font="Wingdings" w:char="00A8"/>
            </w:r>
            <w:r>
              <w:rPr>
                <w:rFonts w:hint="eastAsia"/>
                <w:szCs w:val="21"/>
              </w:rPr>
              <w:t>；拟建</w:t>
            </w:r>
            <w:r>
              <w:rPr>
                <w:rFonts w:hint="eastAsia"/>
                <w:szCs w:val="21"/>
              </w:rPr>
              <w:sym w:font="Wingdings" w:char="00A8"/>
            </w:r>
            <w:r>
              <w:rPr>
                <w:rFonts w:hint="eastAsia"/>
                <w:szCs w:val="21"/>
              </w:rPr>
              <w:t>；其他</w:t>
            </w:r>
            <w:r>
              <w:rPr>
                <w:rFonts w:hint="eastAsia"/>
                <w:szCs w:val="21"/>
              </w:rPr>
              <w:sym w:font="Wingdings" w:char="00A8"/>
            </w:r>
          </w:p>
        </w:tc>
        <w:tc>
          <w:tcPr>
            <w:tcW w:w="2114" w:type="dxa"/>
            <w:noWrap w:val="0"/>
            <w:vAlign w:val="top"/>
          </w:tcPr>
          <w:p>
            <w:pPr>
              <w:rPr>
                <w:rFonts w:hint="eastAsia"/>
                <w:szCs w:val="21"/>
              </w:rPr>
            </w:pPr>
            <w:r>
              <w:rPr>
                <w:rFonts w:hint="eastAsia"/>
                <w:szCs w:val="21"/>
              </w:rPr>
              <w:t>拟替代的污染源</w:t>
            </w:r>
            <w:r>
              <w:rPr>
                <w:rFonts w:hint="eastAsia"/>
                <w:szCs w:val="21"/>
              </w:rPr>
              <w:sym w:font="Wingdings" w:char="00A8"/>
            </w:r>
          </w:p>
        </w:tc>
        <w:tc>
          <w:tcPr>
            <w:tcW w:w="3358" w:type="dxa"/>
            <w:gridSpan w:val="4"/>
            <w:noWrap w:val="0"/>
            <w:vAlign w:val="top"/>
          </w:tcPr>
          <w:p>
            <w:pPr>
              <w:rPr>
                <w:rFonts w:hint="eastAsia"/>
                <w:szCs w:val="21"/>
              </w:rPr>
            </w:pPr>
            <w:r>
              <w:rPr>
                <w:rFonts w:hint="eastAsia"/>
                <w:szCs w:val="21"/>
              </w:rPr>
              <w:t>排污许可证</w:t>
            </w:r>
            <w:r>
              <w:rPr>
                <w:rFonts w:hint="eastAsia"/>
                <w:szCs w:val="21"/>
              </w:rPr>
              <w:sym w:font="Wingdings" w:char="00A8"/>
            </w:r>
            <w:r>
              <w:rPr>
                <w:rFonts w:hint="eastAsia"/>
                <w:szCs w:val="21"/>
              </w:rPr>
              <w:t>；环评</w:t>
            </w:r>
            <w:r>
              <w:rPr>
                <w:rFonts w:hint="eastAsia"/>
                <w:szCs w:val="21"/>
              </w:rPr>
              <w:sym w:font="Wingdings" w:char="00A8"/>
            </w:r>
            <w:r>
              <w:rPr>
                <w:rFonts w:hint="eastAsia"/>
                <w:szCs w:val="21"/>
              </w:rPr>
              <w:t>；环保验收</w:t>
            </w:r>
            <w:r>
              <w:rPr>
                <w:rFonts w:hint="eastAsia"/>
                <w:szCs w:val="21"/>
              </w:rPr>
              <w:sym w:font="Wingdings" w:char="00A8"/>
            </w:r>
            <w:r>
              <w:rPr>
                <w:rFonts w:hint="eastAsia"/>
                <w:szCs w:val="21"/>
              </w:rPr>
              <w:t>；既有实测</w:t>
            </w:r>
            <w:r>
              <w:rPr>
                <w:rFonts w:hint="eastAsia"/>
                <w:szCs w:val="21"/>
              </w:rPr>
              <w:sym w:font="Wingdings" w:char="00A8"/>
            </w:r>
            <w:r>
              <w:rPr>
                <w:rFonts w:hint="eastAsia"/>
                <w:szCs w:val="21"/>
              </w:rPr>
              <w:t>；现场监测</w:t>
            </w:r>
            <w:r>
              <w:rPr>
                <w:rFonts w:hint="eastAsia"/>
                <w:szCs w:val="21"/>
              </w:rPr>
              <w:sym w:font="Wingdings" w:char="00A8"/>
            </w:r>
            <w:r>
              <w:rPr>
                <w:rFonts w:hint="eastAsia"/>
                <w:szCs w:val="21"/>
              </w:rPr>
              <w:t>；入河排放口数据</w:t>
            </w:r>
            <w:r>
              <w:rPr>
                <w:rFonts w:hint="eastAsia"/>
                <w:szCs w:val="21"/>
              </w:rPr>
              <w:sym w:font="Wingdings" w:char="00A8"/>
            </w:r>
            <w:r>
              <w:rPr>
                <w:rFonts w:hint="eastAsia"/>
                <w:szCs w:val="21"/>
              </w:rPr>
              <w:t>；其他</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425" w:type="dxa"/>
            <w:vMerge w:val="continue"/>
            <w:noWrap w:val="0"/>
            <w:vAlign w:val="center"/>
          </w:tcPr>
          <w:p>
            <w:pPr>
              <w:jc w:val="center"/>
              <w:rPr>
                <w:rFonts w:hint="eastAsia"/>
                <w:szCs w:val="21"/>
              </w:rPr>
            </w:pPr>
          </w:p>
        </w:tc>
        <w:tc>
          <w:tcPr>
            <w:tcW w:w="1232" w:type="dxa"/>
            <w:vMerge w:val="restart"/>
            <w:noWrap w:val="0"/>
            <w:vAlign w:val="center"/>
          </w:tcPr>
          <w:p>
            <w:pPr>
              <w:jc w:val="center"/>
              <w:rPr>
                <w:rFonts w:hint="eastAsia"/>
                <w:szCs w:val="21"/>
              </w:rPr>
            </w:pPr>
            <w:r>
              <w:rPr>
                <w:rFonts w:hint="eastAsia"/>
                <w:szCs w:val="21"/>
              </w:rPr>
              <w:t>受影响水体水环境质量</w:t>
            </w:r>
          </w:p>
        </w:tc>
        <w:tc>
          <w:tcPr>
            <w:tcW w:w="4228" w:type="dxa"/>
            <w:gridSpan w:val="2"/>
            <w:noWrap w:val="0"/>
            <w:vAlign w:val="center"/>
          </w:tcPr>
          <w:p>
            <w:pPr>
              <w:jc w:val="center"/>
              <w:rPr>
                <w:rFonts w:hint="eastAsia"/>
                <w:szCs w:val="21"/>
              </w:rPr>
            </w:pPr>
            <w:r>
              <w:rPr>
                <w:rFonts w:hint="eastAsia"/>
                <w:szCs w:val="21"/>
              </w:rPr>
              <w:t>调查时期</w:t>
            </w:r>
          </w:p>
        </w:tc>
        <w:tc>
          <w:tcPr>
            <w:tcW w:w="3358" w:type="dxa"/>
            <w:gridSpan w:val="4"/>
            <w:noWrap w:val="0"/>
            <w:vAlign w:val="center"/>
          </w:tcPr>
          <w:p>
            <w:pPr>
              <w:jc w:val="center"/>
              <w:rPr>
                <w:rFonts w:hint="eastAsia"/>
                <w:szCs w:val="21"/>
              </w:rPr>
            </w:pPr>
            <w:r>
              <w:rPr>
                <w:rFonts w:hint="eastAsia"/>
                <w:szCs w:val="21"/>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425" w:type="dxa"/>
            <w:vMerge w:val="continue"/>
            <w:noWrap w:val="0"/>
            <w:vAlign w:val="center"/>
          </w:tcPr>
          <w:p>
            <w:pPr>
              <w:jc w:val="center"/>
              <w:rPr>
                <w:szCs w:val="21"/>
              </w:rPr>
            </w:pPr>
          </w:p>
        </w:tc>
        <w:tc>
          <w:tcPr>
            <w:tcW w:w="1232" w:type="dxa"/>
            <w:vMerge w:val="continue"/>
            <w:noWrap w:val="0"/>
            <w:vAlign w:val="center"/>
          </w:tcPr>
          <w:p>
            <w:pPr>
              <w:jc w:val="center"/>
              <w:rPr>
                <w:szCs w:val="21"/>
              </w:rPr>
            </w:pPr>
          </w:p>
        </w:tc>
        <w:tc>
          <w:tcPr>
            <w:tcW w:w="4228" w:type="dxa"/>
            <w:gridSpan w:val="2"/>
            <w:noWrap w:val="0"/>
            <w:vAlign w:val="top"/>
          </w:tcPr>
          <w:p>
            <w:pPr>
              <w:rPr>
                <w:rFonts w:hint="eastAsia"/>
                <w:szCs w:val="21"/>
              </w:rPr>
            </w:pPr>
            <w:r>
              <w:rPr>
                <w:rFonts w:hint="eastAsia"/>
                <w:szCs w:val="21"/>
              </w:rPr>
              <w:t>丰水期</w:t>
            </w:r>
            <w:r>
              <w:rPr>
                <w:rFonts w:hint="eastAsia"/>
                <w:szCs w:val="21"/>
              </w:rPr>
              <w:sym w:font="Wingdings" w:char="00A8"/>
            </w:r>
            <w:r>
              <w:rPr>
                <w:rFonts w:hint="eastAsia"/>
                <w:szCs w:val="21"/>
              </w:rPr>
              <w:t>；平水期</w:t>
            </w:r>
            <w:r>
              <w:rPr>
                <w:rFonts w:hint="eastAsia"/>
                <w:szCs w:val="21"/>
              </w:rPr>
              <w:sym w:font="Wingdings" w:char="00A8"/>
            </w:r>
            <w:r>
              <w:rPr>
                <w:rFonts w:hint="eastAsia"/>
                <w:szCs w:val="21"/>
              </w:rPr>
              <w:t>；枯水期</w:t>
            </w:r>
            <w:r>
              <w:rPr>
                <w:rFonts w:hint="eastAsia"/>
                <w:szCs w:val="21"/>
              </w:rPr>
              <w:sym w:font="Wingdings" w:char="00A8"/>
            </w:r>
            <w:r>
              <w:rPr>
                <w:rFonts w:hint="eastAsia"/>
                <w:szCs w:val="21"/>
              </w:rPr>
              <w:t>；冰封期</w:t>
            </w:r>
            <w:r>
              <w:rPr>
                <w:rFonts w:hint="eastAsia"/>
                <w:szCs w:val="21"/>
              </w:rPr>
              <w:sym w:font="Wingdings" w:char="00A8"/>
            </w:r>
            <w:r>
              <w:rPr>
                <w:rFonts w:hint="eastAsia"/>
                <w:szCs w:val="21"/>
              </w:rPr>
              <w:t>；春季</w:t>
            </w:r>
            <w:r>
              <w:rPr>
                <w:rFonts w:hint="eastAsia"/>
                <w:szCs w:val="21"/>
              </w:rPr>
              <w:sym w:font="Wingdings" w:char="00A8"/>
            </w:r>
            <w:r>
              <w:rPr>
                <w:rFonts w:hint="eastAsia"/>
                <w:szCs w:val="21"/>
              </w:rPr>
              <w:t>；夏季</w:t>
            </w:r>
            <w:r>
              <w:rPr>
                <w:rFonts w:hint="eastAsia"/>
                <w:szCs w:val="21"/>
              </w:rPr>
              <w:sym w:font="Wingdings" w:char="00A8"/>
            </w:r>
            <w:r>
              <w:rPr>
                <w:rFonts w:hint="eastAsia"/>
                <w:szCs w:val="21"/>
              </w:rPr>
              <w:t>；秋季</w:t>
            </w:r>
            <w:r>
              <w:rPr>
                <w:rFonts w:hint="eastAsia"/>
                <w:szCs w:val="21"/>
              </w:rPr>
              <w:sym w:font="Wingdings" w:char="00A8"/>
            </w:r>
            <w:r>
              <w:rPr>
                <w:rFonts w:hint="eastAsia"/>
                <w:szCs w:val="21"/>
              </w:rPr>
              <w:t>；冬季</w:t>
            </w:r>
            <w:r>
              <w:rPr>
                <w:rFonts w:hint="eastAsia"/>
                <w:szCs w:val="21"/>
              </w:rPr>
              <w:sym w:font="Wingdings" w:char="00A8"/>
            </w:r>
          </w:p>
        </w:tc>
        <w:tc>
          <w:tcPr>
            <w:tcW w:w="3358" w:type="dxa"/>
            <w:gridSpan w:val="4"/>
            <w:noWrap w:val="0"/>
            <w:vAlign w:val="top"/>
          </w:tcPr>
          <w:p>
            <w:pPr>
              <w:rPr>
                <w:rFonts w:hint="eastAsia"/>
                <w:szCs w:val="21"/>
              </w:rPr>
            </w:pPr>
            <w:r>
              <w:rPr>
                <w:rFonts w:hint="eastAsia"/>
                <w:szCs w:val="21"/>
              </w:rPr>
              <w:t>生态环境保护部门</w:t>
            </w:r>
            <w:r>
              <w:rPr>
                <w:rFonts w:hint="eastAsia"/>
                <w:szCs w:val="21"/>
              </w:rPr>
              <w:sym w:font="Wingdings" w:char="00FE"/>
            </w:r>
            <w:r>
              <w:rPr>
                <w:rFonts w:hint="eastAsia"/>
                <w:szCs w:val="21"/>
              </w:rPr>
              <w:t>；补充监测</w:t>
            </w:r>
            <w:r>
              <w:rPr>
                <w:rFonts w:hint="eastAsia"/>
                <w:szCs w:val="21"/>
              </w:rPr>
              <w:sym w:font="Wingdings" w:char="00A8"/>
            </w:r>
            <w:r>
              <w:rPr>
                <w:rFonts w:hint="eastAsia"/>
                <w:szCs w:val="21"/>
              </w:rPr>
              <w:t>；其他</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jc w:val="center"/>
              <w:rPr>
                <w:rFonts w:hint="eastAsia"/>
                <w:szCs w:val="21"/>
              </w:rPr>
            </w:pPr>
          </w:p>
        </w:tc>
        <w:tc>
          <w:tcPr>
            <w:tcW w:w="1232" w:type="dxa"/>
            <w:noWrap w:val="0"/>
            <w:vAlign w:val="center"/>
          </w:tcPr>
          <w:p>
            <w:pPr>
              <w:jc w:val="center"/>
              <w:rPr>
                <w:rFonts w:hint="eastAsia"/>
                <w:szCs w:val="21"/>
              </w:rPr>
            </w:pPr>
            <w:r>
              <w:rPr>
                <w:rFonts w:hint="eastAsia"/>
                <w:szCs w:val="21"/>
              </w:rPr>
              <w:t>区域水资源开发利用状况</w:t>
            </w:r>
          </w:p>
        </w:tc>
        <w:tc>
          <w:tcPr>
            <w:tcW w:w="7586" w:type="dxa"/>
            <w:gridSpan w:val="6"/>
            <w:noWrap w:val="0"/>
            <w:vAlign w:val="center"/>
          </w:tcPr>
          <w:p>
            <w:pPr>
              <w:rPr>
                <w:rFonts w:hint="eastAsia"/>
                <w:szCs w:val="21"/>
              </w:rPr>
            </w:pPr>
            <w:r>
              <w:rPr>
                <w:rFonts w:hint="eastAsia"/>
                <w:szCs w:val="21"/>
              </w:rPr>
              <w:t>未开发</w:t>
            </w:r>
            <w:r>
              <w:rPr>
                <w:rFonts w:hint="eastAsia"/>
                <w:szCs w:val="21"/>
              </w:rPr>
              <w:sym w:font="Wingdings" w:char="00A8"/>
            </w:r>
            <w:r>
              <w:rPr>
                <w:rFonts w:hint="eastAsia"/>
                <w:szCs w:val="21"/>
              </w:rPr>
              <w:t>；开发量40%以下</w:t>
            </w:r>
            <w:r>
              <w:rPr>
                <w:rFonts w:hint="eastAsia"/>
                <w:szCs w:val="21"/>
              </w:rPr>
              <w:sym w:font="Wingdings" w:char="00A8"/>
            </w:r>
            <w:r>
              <w:rPr>
                <w:rFonts w:hint="eastAsia"/>
                <w:szCs w:val="21"/>
              </w:rPr>
              <w:t>；开发量40%以上</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center"/>
          </w:tcPr>
          <w:p>
            <w:pPr>
              <w:jc w:val="center"/>
              <w:rPr>
                <w:rFonts w:hint="eastAsia"/>
                <w:szCs w:val="21"/>
              </w:rPr>
            </w:pPr>
          </w:p>
        </w:tc>
        <w:tc>
          <w:tcPr>
            <w:tcW w:w="1232" w:type="dxa"/>
            <w:vMerge w:val="restart"/>
            <w:noWrap w:val="0"/>
            <w:vAlign w:val="center"/>
          </w:tcPr>
          <w:p>
            <w:pPr>
              <w:jc w:val="center"/>
              <w:rPr>
                <w:rFonts w:hint="eastAsia"/>
                <w:szCs w:val="21"/>
              </w:rPr>
            </w:pPr>
            <w:r>
              <w:rPr>
                <w:rFonts w:hint="eastAsia"/>
                <w:szCs w:val="21"/>
              </w:rPr>
              <w:t>水文情势调查</w:t>
            </w:r>
          </w:p>
        </w:tc>
        <w:tc>
          <w:tcPr>
            <w:tcW w:w="4228" w:type="dxa"/>
            <w:gridSpan w:val="2"/>
            <w:noWrap w:val="0"/>
            <w:vAlign w:val="top"/>
          </w:tcPr>
          <w:p>
            <w:pPr>
              <w:jc w:val="center"/>
              <w:rPr>
                <w:rFonts w:hint="eastAsia"/>
                <w:szCs w:val="21"/>
              </w:rPr>
            </w:pPr>
            <w:r>
              <w:rPr>
                <w:rFonts w:hint="eastAsia"/>
                <w:szCs w:val="21"/>
              </w:rPr>
              <w:t>调查时期</w:t>
            </w:r>
          </w:p>
        </w:tc>
        <w:tc>
          <w:tcPr>
            <w:tcW w:w="3358" w:type="dxa"/>
            <w:gridSpan w:val="4"/>
            <w:noWrap w:val="0"/>
            <w:vAlign w:val="top"/>
          </w:tcPr>
          <w:p>
            <w:pPr>
              <w:jc w:val="center"/>
              <w:rPr>
                <w:rFonts w:hint="eastAsia"/>
                <w:szCs w:val="21"/>
              </w:rPr>
            </w:pPr>
            <w:r>
              <w:rPr>
                <w:rFonts w:hint="eastAsia"/>
                <w:szCs w:val="21"/>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center"/>
          </w:tcPr>
          <w:p>
            <w:pPr>
              <w:jc w:val="center"/>
              <w:rPr>
                <w:szCs w:val="21"/>
              </w:rPr>
            </w:pPr>
          </w:p>
        </w:tc>
        <w:tc>
          <w:tcPr>
            <w:tcW w:w="1232" w:type="dxa"/>
            <w:vMerge w:val="continue"/>
            <w:noWrap w:val="0"/>
            <w:vAlign w:val="center"/>
          </w:tcPr>
          <w:p>
            <w:pPr>
              <w:jc w:val="center"/>
              <w:rPr>
                <w:szCs w:val="21"/>
              </w:rPr>
            </w:pPr>
          </w:p>
        </w:tc>
        <w:tc>
          <w:tcPr>
            <w:tcW w:w="4228" w:type="dxa"/>
            <w:gridSpan w:val="2"/>
            <w:noWrap w:val="0"/>
            <w:vAlign w:val="top"/>
          </w:tcPr>
          <w:p>
            <w:pPr>
              <w:rPr>
                <w:rFonts w:hint="eastAsia"/>
                <w:szCs w:val="21"/>
              </w:rPr>
            </w:pPr>
            <w:r>
              <w:rPr>
                <w:rFonts w:hint="eastAsia"/>
                <w:szCs w:val="21"/>
              </w:rPr>
              <w:t>丰水期</w:t>
            </w:r>
            <w:r>
              <w:rPr>
                <w:rFonts w:hint="eastAsia"/>
                <w:szCs w:val="21"/>
              </w:rPr>
              <w:sym w:font="Wingdings" w:char="00A8"/>
            </w:r>
            <w:r>
              <w:rPr>
                <w:rFonts w:hint="eastAsia"/>
                <w:szCs w:val="21"/>
              </w:rPr>
              <w:t>；平水期</w:t>
            </w:r>
            <w:r>
              <w:rPr>
                <w:rFonts w:hint="eastAsia"/>
                <w:szCs w:val="21"/>
              </w:rPr>
              <w:sym w:font="Wingdings" w:char="00A8"/>
            </w:r>
            <w:r>
              <w:rPr>
                <w:rFonts w:hint="eastAsia"/>
                <w:szCs w:val="21"/>
              </w:rPr>
              <w:t>；枯水期</w:t>
            </w:r>
            <w:r>
              <w:rPr>
                <w:rFonts w:hint="eastAsia"/>
                <w:szCs w:val="21"/>
              </w:rPr>
              <w:sym w:font="Wingdings" w:char="00A8"/>
            </w:r>
            <w:r>
              <w:rPr>
                <w:rFonts w:hint="eastAsia"/>
                <w:szCs w:val="21"/>
              </w:rPr>
              <w:t>；冰封期</w:t>
            </w:r>
            <w:r>
              <w:rPr>
                <w:rFonts w:hint="eastAsia"/>
                <w:szCs w:val="21"/>
              </w:rPr>
              <w:sym w:font="Wingdings" w:char="00A8"/>
            </w:r>
            <w:r>
              <w:rPr>
                <w:rFonts w:hint="eastAsia"/>
                <w:szCs w:val="21"/>
              </w:rPr>
              <w:t>；春季</w:t>
            </w:r>
            <w:r>
              <w:rPr>
                <w:rFonts w:hint="eastAsia"/>
                <w:szCs w:val="21"/>
              </w:rPr>
              <w:sym w:font="Wingdings" w:char="00A8"/>
            </w:r>
            <w:r>
              <w:rPr>
                <w:rFonts w:hint="eastAsia"/>
                <w:szCs w:val="21"/>
              </w:rPr>
              <w:t>；夏季</w:t>
            </w:r>
            <w:r>
              <w:rPr>
                <w:rFonts w:hint="eastAsia"/>
                <w:szCs w:val="21"/>
              </w:rPr>
              <w:sym w:font="Wingdings" w:char="00A8"/>
            </w:r>
            <w:r>
              <w:rPr>
                <w:rFonts w:hint="eastAsia"/>
                <w:szCs w:val="21"/>
              </w:rPr>
              <w:t>；秋季</w:t>
            </w:r>
            <w:r>
              <w:rPr>
                <w:rFonts w:hint="eastAsia"/>
                <w:szCs w:val="21"/>
              </w:rPr>
              <w:sym w:font="Wingdings" w:char="00A8"/>
            </w:r>
            <w:r>
              <w:rPr>
                <w:rFonts w:hint="eastAsia"/>
                <w:szCs w:val="21"/>
              </w:rPr>
              <w:t>；冬季</w:t>
            </w:r>
            <w:r>
              <w:rPr>
                <w:rFonts w:hint="eastAsia"/>
                <w:szCs w:val="21"/>
              </w:rPr>
              <w:sym w:font="Wingdings" w:char="00A8"/>
            </w:r>
          </w:p>
        </w:tc>
        <w:tc>
          <w:tcPr>
            <w:tcW w:w="3358" w:type="dxa"/>
            <w:gridSpan w:val="4"/>
            <w:noWrap w:val="0"/>
            <w:vAlign w:val="top"/>
          </w:tcPr>
          <w:p>
            <w:pPr>
              <w:rPr>
                <w:rFonts w:hint="eastAsia"/>
                <w:szCs w:val="21"/>
              </w:rPr>
            </w:pPr>
            <w:r>
              <w:rPr>
                <w:rFonts w:hint="eastAsia"/>
                <w:szCs w:val="21"/>
              </w:rPr>
              <w:t>水行政主管部门</w:t>
            </w:r>
            <w:r>
              <w:rPr>
                <w:rFonts w:hint="eastAsia"/>
                <w:szCs w:val="21"/>
              </w:rPr>
              <w:sym w:font="Wingdings" w:char="00A8"/>
            </w:r>
            <w:r>
              <w:rPr>
                <w:rFonts w:hint="eastAsia"/>
                <w:szCs w:val="21"/>
              </w:rPr>
              <w:t>；补充监测</w:t>
            </w:r>
            <w:r>
              <w:rPr>
                <w:rFonts w:hint="eastAsia"/>
                <w:szCs w:val="21"/>
              </w:rPr>
              <w:sym w:font="Wingdings" w:char="00A8"/>
            </w:r>
            <w:r>
              <w:rPr>
                <w:rFonts w:hint="eastAsia"/>
                <w:szCs w:val="21"/>
              </w:rPr>
              <w:t>；其他</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425" w:type="dxa"/>
            <w:vMerge w:val="continue"/>
            <w:noWrap w:val="0"/>
            <w:vAlign w:val="center"/>
          </w:tcPr>
          <w:p>
            <w:pPr>
              <w:jc w:val="center"/>
              <w:rPr>
                <w:rFonts w:hint="eastAsia"/>
                <w:szCs w:val="21"/>
              </w:rPr>
            </w:pPr>
          </w:p>
        </w:tc>
        <w:tc>
          <w:tcPr>
            <w:tcW w:w="1232" w:type="dxa"/>
            <w:vMerge w:val="restart"/>
            <w:noWrap w:val="0"/>
            <w:vAlign w:val="center"/>
          </w:tcPr>
          <w:p>
            <w:pPr>
              <w:jc w:val="center"/>
              <w:rPr>
                <w:rFonts w:hint="eastAsia"/>
                <w:szCs w:val="21"/>
              </w:rPr>
            </w:pPr>
            <w:r>
              <w:rPr>
                <w:rFonts w:hint="eastAsia"/>
                <w:szCs w:val="21"/>
              </w:rPr>
              <w:t>补充监测</w:t>
            </w:r>
          </w:p>
        </w:tc>
        <w:tc>
          <w:tcPr>
            <w:tcW w:w="4228" w:type="dxa"/>
            <w:gridSpan w:val="2"/>
            <w:noWrap w:val="0"/>
            <w:vAlign w:val="center"/>
          </w:tcPr>
          <w:p>
            <w:pPr>
              <w:jc w:val="center"/>
              <w:rPr>
                <w:rFonts w:hint="eastAsia"/>
                <w:szCs w:val="21"/>
              </w:rPr>
            </w:pPr>
            <w:r>
              <w:rPr>
                <w:rFonts w:hint="eastAsia"/>
                <w:szCs w:val="21"/>
              </w:rPr>
              <w:t>监测时期</w:t>
            </w:r>
          </w:p>
        </w:tc>
        <w:tc>
          <w:tcPr>
            <w:tcW w:w="2176" w:type="dxa"/>
            <w:gridSpan w:val="2"/>
            <w:noWrap w:val="0"/>
            <w:vAlign w:val="center"/>
          </w:tcPr>
          <w:p>
            <w:pPr>
              <w:jc w:val="center"/>
              <w:rPr>
                <w:rFonts w:hint="eastAsia"/>
                <w:szCs w:val="21"/>
              </w:rPr>
            </w:pPr>
            <w:r>
              <w:rPr>
                <w:rFonts w:hint="eastAsia"/>
                <w:szCs w:val="21"/>
              </w:rPr>
              <w:t>监测因子</w:t>
            </w:r>
          </w:p>
        </w:tc>
        <w:tc>
          <w:tcPr>
            <w:tcW w:w="1182" w:type="dxa"/>
            <w:gridSpan w:val="2"/>
            <w:noWrap w:val="0"/>
            <w:vAlign w:val="center"/>
          </w:tcPr>
          <w:p>
            <w:pPr>
              <w:jc w:val="center"/>
              <w:rPr>
                <w:rFonts w:hint="eastAsia"/>
                <w:szCs w:val="21"/>
              </w:rPr>
            </w:pPr>
            <w:r>
              <w:rPr>
                <w:rFonts w:hint="eastAsia"/>
                <w:szCs w:val="21"/>
              </w:rPr>
              <w:t>监测断面或点位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425" w:type="dxa"/>
            <w:vMerge w:val="continue"/>
            <w:noWrap w:val="0"/>
            <w:vAlign w:val="top"/>
          </w:tcPr>
          <w:p>
            <w:pPr>
              <w:rPr>
                <w:szCs w:val="21"/>
              </w:rPr>
            </w:pPr>
          </w:p>
        </w:tc>
        <w:tc>
          <w:tcPr>
            <w:tcW w:w="1232" w:type="dxa"/>
            <w:vMerge w:val="continue"/>
            <w:noWrap w:val="0"/>
            <w:vAlign w:val="top"/>
          </w:tcPr>
          <w:p>
            <w:pPr>
              <w:rPr>
                <w:szCs w:val="21"/>
              </w:rPr>
            </w:pPr>
          </w:p>
        </w:tc>
        <w:tc>
          <w:tcPr>
            <w:tcW w:w="4228" w:type="dxa"/>
            <w:gridSpan w:val="2"/>
            <w:noWrap w:val="0"/>
            <w:vAlign w:val="top"/>
          </w:tcPr>
          <w:p>
            <w:pPr>
              <w:rPr>
                <w:rFonts w:hint="eastAsia"/>
                <w:szCs w:val="21"/>
              </w:rPr>
            </w:pPr>
            <w:r>
              <w:rPr>
                <w:rFonts w:hint="eastAsia"/>
                <w:szCs w:val="21"/>
              </w:rPr>
              <w:t>丰水期</w:t>
            </w:r>
            <w:r>
              <w:rPr>
                <w:rFonts w:hint="eastAsia"/>
                <w:szCs w:val="21"/>
              </w:rPr>
              <w:sym w:font="Wingdings" w:char="00A8"/>
            </w:r>
            <w:r>
              <w:rPr>
                <w:rFonts w:hint="eastAsia"/>
                <w:szCs w:val="21"/>
              </w:rPr>
              <w:t>；平水期</w:t>
            </w:r>
            <w:r>
              <w:rPr>
                <w:rFonts w:hint="eastAsia"/>
                <w:szCs w:val="21"/>
              </w:rPr>
              <w:sym w:font="Wingdings" w:char="00A8"/>
            </w:r>
            <w:r>
              <w:rPr>
                <w:rFonts w:hint="eastAsia"/>
                <w:szCs w:val="21"/>
              </w:rPr>
              <w:t>；枯水期</w:t>
            </w:r>
            <w:r>
              <w:rPr>
                <w:rFonts w:hint="eastAsia"/>
                <w:szCs w:val="21"/>
              </w:rPr>
              <w:sym w:font="Wingdings" w:char="00A8"/>
            </w:r>
            <w:r>
              <w:rPr>
                <w:rFonts w:hint="eastAsia"/>
                <w:szCs w:val="21"/>
              </w:rPr>
              <w:t>；冰封期</w:t>
            </w:r>
            <w:r>
              <w:rPr>
                <w:rFonts w:hint="eastAsia"/>
                <w:szCs w:val="21"/>
              </w:rPr>
              <w:sym w:font="Wingdings" w:char="00A8"/>
            </w:r>
            <w:r>
              <w:rPr>
                <w:rFonts w:hint="eastAsia"/>
                <w:szCs w:val="21"/>
              </w:rPr>
              <w:t>；春季</w:t>
            </w:r>
            <w:r>
              <w:rPr>
                <w:rFonts w:hint="eastAsia"/>
                <w:szCs w:val="21"/>
              </w:rPr>
              <w:sym w:font="Wingdings" w:char="00A8"/>
            </w:r>
            <w:r>
              <w:rPr>
                <w:rFonts w:hint="eastAsia"/>
                <w:szCs w:val="21"/>
              </w:rPr>
              <w:t>；夏季</w:t>
            </w:r>
            <w:r>
              <w:rPr>
                <w:rFonts w:hint="eastAsia"/>
                <w:szCs w:val="21"/>
              </w:rPr>
              <w:sym w:font="Wingdings" w:char="00A8"/>
            </w:r>
            <w:r>
              <w:rPr>
                <w:rFonts w:hint="eastAsia"/>
                <w:szCs w:val="21"/>
              </w:rPr>
              <w:t>；秋季</w:t>
            </w:r>
            <w:r>
              <w:rPr>
                <w:rFonts w:hint="eastAsia"/>
                <w:szCs w:val="21"/>
              </w:rPr>
              <w:sym w:font="Wingdings" w:char="00A8"/>
            </w:r>
            <w:r>
              <w:rPr>
                <w:rFonts w:hint="eastAsia"/>
                <w:szCs w:val="21"/>
              </w:rPr>
              <w:t>；冬季</w:t>
            </w:r>
            <w:r>
              <w:rPr>
                <w:rFonts w:hint="eastAsia"/>
                <w:szCs w:val="21"/>
              </w:rPr>
              <w:sym w:font="Wingdings" w:char="00A8"/>
            </w:r>
          </w:p>
        </w:tc>
        <w:tc>
          <w:tcPr>
            <w:tcW w:w="2176" w:type="dxa"/>
            <w:gridSpan w:val="2"/>
            <w:noWrap w:val="0"/>
            <w:vAlign w:val="center"/>
          </w:tcPr>
          <w:p>
            <w:pPr>
              <w:jc w:val="center"/>
              <w:rPr>
                <w:rFonts w:hint="eastAsia" w:eastAsiaTheme="minorEastAsia"/>
                <w:szCs w:val="21"/>
                <w:lang w:val="en-US" w:eastAsia="zh-CN"/>
              </w:rPr>
            </w:pPr>
            <w:r>
              <w:rPr>
                <w:rFonts w:hint="eastAsia"/>
                <w:szCs w:val="21"/>
                <w:lang w:val="en-US" w:eastAsia="zh-CN"/>
              </w:rPr>
              <w:t>无</w:t>
            </w:r>
          </w:p>
        </w:tc>
        <w:tc>
          <w:tcPr>
            <w:tcW w:w="1182" w:type="dxa"/>
            <w:gridSpan w:val="2"/>
            <w:noWrap w:val="0"/>
            <w:vAlign w:val="center"/>
          </w:tcPr>
          <w:p>
            <w:pPr>
              <w:jc w:val="center"/>
              <w:rPr>
                <w:rFonts w:hint="eastAsia"/>
                <w:szCs w:val="21"/>
              </w:rPr>
            </w:pPr>
            <w:r>
              <w:rPr>
                <w:rFonts w:hint="eastAsia"/>
                <w:szCs w:val="21"/>
              </w:rPr>
              <w:t>（</w:t>
            </w:r>
            <w:r>
              <w:rPr>
                <w:rFonts w:hint="eastAsia"/>
                <w:szCs w:val="21"/>
                <w:lang w:val="en-US" w:eastAsia="zh-CN"/>
              </w:rPr>
              <w:t>0</w:t>
            </w:r>
            <w:r>
              <w:rPr>
                <w:rFonts w:hint="eastAsia"/>
                <w:szCs w:val="21"/>
              </w:rPr>
              <w:t>）个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restart"/>
            <w:noWrap w:val="0"/>
            <w:vAlign w:val="center"/>
          </w:tcPr>
          <w:p>
            <w:pPr>
              <w:jc w:val="center"/>
              <w:rPr>
                <w:rFonts w:hint="eastAsia"/>
                <w:szCs w:val="21"/>
              </w:rPr>
            </w:pPr>
            <w:r>
              <w:rPr>
                <w:rFonts w:hint="eastAsia"/>
                <w:szCs w:val="21"/>
              </w:rPr>
              <w:t>现状评价</w:t>
            </w:r>
          </w:p>
        </w:tc>
        <w:tc>
          <w:tcPr>
            <w:tcW w:w="1232" w:type="dxa"/>
            <w:noWrap w:val="0"/>
            <w:vAlign w:val="center"/>
          </w:tcPr>
          <w:p>
            <w:pPr>
              <w:jc w:val="center"/>
              <w:rPr>
                <w:rFonts w:hint="eastAsia"/>
                <w:szCs w:val="21"/>
              </w:rPr>
            </w:pPr>
            <w:r>
              <w:rPr>
                <w:rFonts w:hint="eastAsia"/>
                <w:szCs w:val="21"/>
              </w:rPr>
              <w:t>评价范围</w:t>
            </w:r>
          </w:p>
        </w:tc>
        <w:tc>
          <w:tcPr>
            <w:tcW w:w="7586" w:type="dxa"/>
            <w:gridSpan w:val="6"/>
            <w:noWrap w:val="0"/>
            <w:vAlign w:val="top"/>
          </w:tcPr>
          <w:p>
            <w:pPr>
              <w:rPr>
                <w:rFonts w:hint="eastAsia"/>
                <w:szCs w:val="21"/>
              </w:rPr>
            </w:pPr>
            <w:r>
              <w:rPr>
                <w:rFonts w:hint="eastAsia"/>
                <w:szCs w:val="21"/>
              </w:rPr>
              <w:t>河流：长度（）km；湖库、河口及近岸海域：面积（）km</w:t>
            </w:r>
            <w:r>
              <w:rPr>
                <w:rFonts w:hint="eastAsia"/>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jc w:val="center"/>
              <w:rPr>
                <w:rFonts w:hint="eastAsia"/>
                <w:szCs w:val="21"/>
              </w:rPr>
            </w:pPr>
          </w:p>
        </w:tc>
        <w:tc>
          <w:tcPr>
            <w:tcW w:w="1232" w:type="dxa"/>
            <w:noWrap w:val="0"/>
            <w:vAlign w:val="center"/>
          </w:tcPr>
          <w:p>
            <w:pPr>
              <w:jc w:val="center"/>
              <w:rPr>
                <w:rFonts w:hint="eastAsia"/>
                <w:szCs w:val="21"/>
              </w:rPr>
            </w:pPr>
            <w:r>
              <w:rPr>
                <w:rFonts w:hint="eastAsia"/>
                <w:szCs w:val="21"/>
              </w:rPr>
              <w:t>评价因子</w:t>
            </w:r>
          </w:p>
        </w:tc>
        <w:tc>
          <w:tcPr>
            <w:tcW w:w="7586" w:type="dxa"/>
            <w:gridSpan w:val="6"/>
            <w:noWrap w:val="0"/>
            <w:vAlign w:val="top"/>
          </w:tcPr>
          <w:p>
            <w:pP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jc w:val="center"/>
              <w:rPr>
                <w:rFonts w:hint="eastAsia"/>
                <w:szCs w:val="21"/>
              </w:rPr>
            </w:pPr>
          </w:p>
        </w:tc>
        <w:tc>
          <w:tcPr>
            <w:tcW w:w="1232" w:type="dxa"/>
            <w:noWrap w:val="0"/>
            <w:vAlign w:val="center"/>
          </w:tcPr>
          <w:p>
            <w:pPr>
              <w:jc w:val="center"/>
              <w:rPr>
                <w:rFonts w:hint="eastAsia"/>
                <w:szCs w:val="21"/>
              </w:rPr>
            </w:pPr>
            <w:r>
              <w:rPr>
                <w:rFonts w:hint="eastAsia"/>
                <w:szCs w:val="21"/>
              </w:rPr>
              <w:t>评价标准</w:t>
            </w:r>
          </w:p>
        </w:tc>
        <w:tc>
          <w:tcPr>
            <w:tcW w:w="7586" w:type="dxa"/>
            <w:gridSpan w:val="6"/>
            <w:noWrap w:val="0"/>
            <w:vAlign w:val="top"/>
          </w:tcPr>
          <w:p>
            <w:pPr>
              <w:rPr>
                <w:rFonts w:hint="eastAsia"/>
                <w:szCs w:val="21"/>
              </w:rPr>
            </w:pPr>
            <w:r>
              <w:rPr>
                <w:rFonts w:hint="eastAsia"/>
                <w:szCs w:val="21"/>
              </w:rPr>
              <w:t>河流、湖库、河口：</w:t>
            </w:r>
            <w:r>
              <w:rPr>
                <w:rFonts w:hint="eastAsia"/>
                <w:szCs w:val="21"/>
              </w:rPr>
              <w:fldChar w:fldCharType="begin"/>
            </w:r>
            <w:r>
              <w:rPr>
                <w:rFonts w:hint="eastAsia"/>
                <w:szCs w:val="21"/>
              </w:rPr>
              <w:instrText xml:space="preserve"> = 1 \* ROMAN \* MERGEFORMAT </w:instrText>
            </w:r>
            <w:r>
              <w:rPr>
                <w:rFonts w:hint="eastAsia"/>
                <w:szCs w:val="21"/>
              </w:rPr>
              <w:fldChar w:fldCharType="separate"/>
            </w:r>
            <w:r>
              <w:rPr>
                <w:szCs w:val="21"/>
              </w:rPr>
              <w:t>I</w:t>
            </w:r>
            <w:r>
              <w:rPr>
                <w:rFonts w:hint="eastAsia"/>
                <w:szCs w:val="21"/>
              </w:rPr>
              <w:fldChar w:fldCharType="end"/>
            </w:r>
            <w:r>
              <w:rPr>
                <w:rFonts w:hint="eastAsia"/>
                <w:szCs w:val="21"/>
              </w:rPr>
              <w:t>类</w:t>
            </w:r>
            <w:r>
              <w:rPr>
                <w:rFonts w:hint="eastAsia"/>
                <w:szCs w:val="21"/>
              </w:rPr>
              <w:sym w:font="Wingdings" w:char="00A8"/>
            </w:r>
            <w:r>
              <w:rPr>
                <w:rFonts w:hint="eastAsia"/>
                <w:szCs w:val="21"/>
              </w:rPr>
              <w:t>；</w:t>
            </w:r>
            <w:r>
              <w:rPr>
                <w:rFonts w:hint="eastAsia"/>
                <w:szCs w:val="21"/>
              </w:rPr>
              <w:fldChar w:fldCharType="begin"/>
            </w:r>
            <w:r>
              <w:rPr>
                <w:rFonts w:hint="eastAsia"/>
                <w:szCs w:val="21"/>
              </w:rPr>
              <w:instrText xml:space="preserve"> = 2 \* ROMAN \* MERGEFORMAT </w:instrText>
            </w:r>
            <w:r>
              <w:rPr>
                <w:rFonts w:hint="eastAsia"/>
                <w:szCs w:val="21"/>
              </w:rPr>
              <w:fldChar w:fldCharType="separate"/>
            </w:r>
            <w:r>
              <w:rPr>
                <w:szCs w:val="21"/>
              </w:rPr>
              <w:t>II</w:t>
            </w:r>
            <w:r>
              <w:rPr>
                <w:rFonts w:hint="eastAsia"/>
                <w:szCs w:val="21"/>
              </w:rPr>
              <w:fldChar w:fldCharType="end"/>
            </w:r>
            <w:r>
              <w:rPr>
                <w:rFonts w:hint="eastAsia"/>
                <w:szCs w:val="21"/>
              </w:rPr>
              <w:t>类</w:t>
            </w:r>
            <w:r>
              <w:rPr>
                <w:rFonts w:hint="eastAsia"/>
                <w:szCs w:val="21"/>
              </w:rPr>
              <w:sym w:font="Wingdings" w:char="00A8"/>
            </w:r>
            <w:r>
              <w:rPr>
                <w:rFonts w:hint="eastAsia"/>
                <w:szCs w:val="21"/>
              </w:rPr>
              <w:t>；</w:t>
            </w:r>
            <w:r>
              <w:rPr>
                <w:rFonts w:hint="eastAsia"/>
                <w:szCs w:val="21"/>
              </w:rPr>
              <w:fldChar w:fldCharType="begin"/>
            </w:r>
            <w:r>
              <w:rPr>
                <w:rFonts w:hint="eastAsia"/>
                <w:szCs w:val="21"/>
              </w:rPr>
              <w:instrText xml:space="preserve"> = 3 \* ROMAN \* MERGEFORMAT </w:instrText>
            </w:r>
            <w:r>
              <w:rPr>
                <w:rFonts w:hint="eastAsia"/>
                <w:szCs w:val="21"/>
              </w:rPr>
              <w:fldChar w:fldCharType="separate"/>
            </w:r>
            <w:r>
              <w:rPr>
                <w:szCs w:val="21"/>
              </w:rPr>
              <w:t>III</w:t>
            </w:r>
            <w:r>
              <w:rPr>
                <w:rFonts w:hint="eastAsia"/>
                <w:szCs w:val="21"/>
              </w:rPr>
              <w:fldChar w:fldCharType="end"/>
            </w:r>
            <w:r>
              <w:rPr>
                <w:rFonts w:hint="eastAsia"/>
                <w:szCs w:val="21"/>
              </w:rPr>
              <w:t>类</w:t>
            </w:r>
            <w:r>
              <w:rPr>
                <w:rFonts w:hint="eastAsia"/>
                <w:szCs w:val="21"/>
              </w:rPr>
              <w:sym w:font="Wingdings" w:char="00A8"/>
            </w:r>
            <w:r>
              <w:rPr>
                <w:rFonts w:hint="eastAsia"/>
                <w:szCs w:val="21"/>
              </w:rPr>
              <w:t>；</w:t>
            </w:r>
            <w:r>
              <w:rPr>
                <w:rFonts w:hint="eastAsia"/>
                <w:szCs w:val="21"/>
              </w:rPr>
              <w:fldChar w:fldCharType="begin"/>
            </w:r>
            <w:r>
              <w:rPr>
                <w:rFonts w:hint="eastAsia"/>
                <w:szCs w:val="21"/>
              </w:rPr>
              <w:instrText xml:space="preserve"> = 4 \* ROMAN \* MERGEFORMAT </w:instrText>
            </w:r>
            <w:r>
              <w:rPr>
                <w:rFonts w:hint="eastAsia"/>
                <w:szCs w:val="21"/>
              </w:rPr>
              <w:fldChar w:fldCharType="separate"/>
            </w:r>
            <w:r>
              <w:rPr>
                <w:szCs w:val="21"/>
              </w:rPr>
              <w:t>IV</w:t>
            </w:r>
            <w:r>
              <w:rPr>
                <w:rFonts w:hint="eastAsia"/>
                <w:szCs w:val="21"/>
              </w:rPr>
              <w:fldChar w:fldCharType="end"/>
            </w:r>
            <w:r>
              <w:rPr>
                <w:rFonts w:hint="eastAsia"/>
                <w:szCs w:val="21"/>
              </w:rPr>
              <w:t>类</w:t>
            </w:r>
            <w:r>
              <w:rPr>
                <w:rFonts w:hint="eastAsia"/>
                <w:szCs w:val="21"/>
              </w:rPr>
              <w:sym w:font="Wingdings" w:char="00A8"/>
            </w:r>
            <w:r>
              <w:rPr>
                <w:rFonts w:hint="eastAsia"/>
                <w:szCs w:val="21"/>
              </w:rPr>
              <w:t>；</w:t>
            </w:r>
            <w:r>
              <w:rPr>
                <w:rFonts w:hint="eastAsia"/>
                <w:szCs w:val="21"/>
              </w:rPr>
              <w:fldChar w:fldCharType="begin"/>
            </w:r>
            <w:r>
              <w:rPr>
                <w:rFonts w:hint="eastAsia"/>
                <w:szCs w:val="21"/>
              </w:rPr>
              <w:instrText xml:space="preserve"> = 5 \* ROMAN \* MERGEFORMAT </w:instrText>
            </w:r>
            <w:r>
              <w:rPr>
                <w:rFonts w:hint="eastAsia"/>
                <w:szCs w:val="21"/>
              </w:rPr>
              <w:fldChar w:fldCharType="separate"/>
            </w:r>
            <w:r>
              <w:rPr>
                <w:szCs w:val="21"/>
              </w:rPr>
              <w:t>V</w:t>
            </w:r>
            <w:r>
              <w:rPr>
                <w:rFonts w:hint="eastAsia"/>
                <w:szCs w:val="21"/>
              </w:rPr>
              <w:fldChar w:fldCharType="end"/>
            </w:r>
            <w:r>
              <w:rPr>
                <w:rFonts w:hint="eastAsia"/>
                <w:szCs w:val="21"/>
              </w:rPr>
              <w:t>类</w:t>
            </w:r>
            <w:r>
              <w:rPr>
                <w:rFonts w:hint="eastAsia"/>
                <w:szCs w:val="21"/>
              </w:rPr>
              <w:sym w:font="Wingdings" w:char="00FE"/>
            </w:r>
          </w:p>
          <w:p>
            <w:pPr>
              <w:pStyle w:val="2"/>
              <w:rPr>
                <w:rFonts w:hint="eastAsia"/>
                <w:sz w:val="21"/>
                <w:szCs w:val="21"/>
              </w:rPr>
            </w:pPr>
            <w:r>
              <w:rPr>
                <w:rFonts w:hint="eastAsia"/>
                <w:sz w:val="21"/>
                <w:szCs w:val="21"/>
              </w:rPr>
              <w:t>近岸海域：第一类</w:t>
            </w:r>
            <w:r>
              <w:rPr>
                <w:rFonts w:hint="eastAsia"/>
                <w:szCs w:val="21"/>
              </w:rPr>
              <w:sym w:font="Wingdings" w:char="00A8"/>
            </w:r>
            <w:r>
              <w:rPr>
                <w:rFonts w:hint="eastAsia"/>
                <w:sz w:val="21"/>
                <w:szCs w:val="21"/>
              </w:rPr>
              <w:t>；第二类</w:t>
            </w:r>
            <w:r>
              <w:rPr>
                <w:rFonts w:hint="eastAsia"/>
                <w:szCs w:val="21"/>
              </w:rPr>
              <w:sym w:font="Wingdings" w:char="00A8"/>
            </w:r>
            <w:r>
              <w:rPr>
                <w:rFonts w:hint="eastAsia"/>
                <w:sz w:val="21"/>
                <w:szCs w:val="21"/>
              </w:rPr>
              <w:t>；第三类</w:t>
            </w:r>
            <w:r>
              <w:rPr>
                <w:rFonts w:hint="eastAsia"/>
                <w:szCs w:val="21"/>
              </w:rPr>
              <w:sym w:font="Wingdings" w:char="00A8"/>
            </w:r>
            <w:r>
              <w:rPr>
                <w:rFonts w:hint="eastAsia"/>
                <w:sz w:val="21"/>
                <w:szCs w:val="21"/>
              </w:rPr>
              <w:t>；第四类</w:t>
            </w:r>
            <w:r>
              <w:rPr>
                <w:rFonts w:hint="eastAsia"/>
                <w:szCs w:val="21"/>
              </w:rPr>
              <w:sym w:font="Wingdings" w:char="00A8"/>
            </w:r>
          </w:p>
          <w:p>
            <w:pPr>
              <w:pStyle w:val="2"/>
              <w:rPr>
                <w:rFonts w:hint="eastAsia"/>
                <w:sz w:val="21"/>
                <w:szCs w:val="21"/>
              </w:rPr>
            </w:pPr>
            <w:r>
              <w:rPr>
                <w:rFonts w:hint="eastAsia"/>
                <w:sz w:val="21"/>
                <w:szCs w:val="21"/>
              </w:rPr>
              <w:t>规划年评价标准（）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jc w:val="center"/>
              <w:rPr>
                <w:rFonts w:hint="eastAsia"/>
                <w:szCs w:val="21"/>
              </w:rPr>
            </w:pPr>
          </w:p>
        </w:tc>
        <w:tc>
          <w:tcPr>
            <w:tcW w:w="1232" w:type="dxa"/>
            <w:noWrap w:val="0"/>
            <w:vAlign w:val="center"/>
          </w:tcPr>
          <w:p>
            <w:pPr>
              <w:jc w:val="center"/>
              <w:rPr>
                <w:rFonts w:hint="eastAsia"/>
                <w:szCs w:val="21"/>
              </w:rPr>
            </w:pPr>
            <w:r>
              <w:rPr>
                <w:rFonts w:hint="eastAsia"/>
                <w:szCs w:val="21"/>
              </w:rPr>
              <w:t>评价时期</w:t>
            </w:r>
          </w:p>
        </w:tc>
        <w:tc>
          <w:tcPr>
            <w:tcW w:w="7586" w:type="dxa"/>
            <w:gridSpan w:val="6"/>
            <w:noWrap w:val="0"/>
            <w:vAlign w:val="top"/>
          </w:tcPr>
          <w:p>
            <w:pPr>
              <w:rPr>
                <w:rFonts w:hint="eastAsia"/>
                <w:szCs w:val="21"/>
              </w:rPr>
            </w:pPr>
            <w:r>
              <w:rPr>
                <w:rFonts w:hint="eastAsia"/>
                <w:szCs w:val="21"/>
              </w:rPr>
              <w:t>丰水期</w:t>
            </w:r>
            <w:r>
              <w:rPr>
                <w:rFonts w:hint="eastAsia"/>
                <w:szCs w:val="21"/>
              </w:rPr>
              <w:sym w:font="Wingdings" w:char="00A8"/>
            </w:r>
            <w:r>
              <w:rPr>
                <w:rFonts w:hint="eastAsia"/>
                <w:szCs w:val="21"/>
              </w:rPr>
              <w:t>；平水期</w:t>
            </w:r>
            <w:r>
              <w:rPr>
                <w:rFonts w:hint="eastAsia"/>
                <w:szCs w:val="21"/>
              </w:rPr>
              <w:sym w:font="Wingdings" w:char="00A8"/>
            </w:r>
            <w:r>
              <w:rPr>
                <w:rFonts w:hint="eastAsia"/>
                <w:szCs w:val="21"/>
              </w:rPr>
              <w:t>；枯水期</w:t>
            </w:r>
            <w:r>
              <w:rPr>
                <w:rFonts w:hint="eastAsia"/>
                <w:szCs w:val="21"/>
              </w:rPr>
              <w:sym w:font="Wingdings" w:char="00A8"/>
            </w:r>
            <w:r>
              <w:rPr>
                <w:rFonts w:hint="eastAsia"/>
                <w:szCs w:val="21"/>
              </w:rPr>
              <w:t>；冰封期</w:t>
            </w:r>
            <w:r>
              <w:rPr>
                <w:rFonts w:hint="eastAsia"/>
                <w:szCs w:val="21"/>
              </w:rPr>
              <w:sym w:font="Wingdings" w:char="00A8"/>
            </w:r>
            <w:r>
              <w:rPr>
                <w:rFonts w:hint="eastAsia"/>
                <w:szCs w:val="21"/>
              </w:rPr>
              <w:t>；春季</w:t>
            </w:r>
            <w:r>
              <w:rPr>
                <w:rFonts w:hint="eastAsia"/>
                <w:szCs w:val="21"/>
              </w:rPr>
              <w:sym w:font="Wingdings" w:char="00A8"/>
            </w:r>
            <w:r>
              <w:rPr>
                <w:rFonts w:hint="eastAsia"/>
                <w:szCs w:val="21"/>
              </w:rPr>
              <w:t>；夏季</w:t>
            </w:r>
            <w:r>
              <w:rPr>
                <w:rFonts w:hint="eastAsia"/>
                <w:szCs w:val="21"/>
              </w:rPr>
              <w:sym w:font="Wingdings" w:char="00A8"/>
            </w:r>
            <w:r>
              <w:rPr>
                <w:rFonts w:hint="eastAsia"/>
                <w:szCs w:val="21"/>
              </w:rPr>
              <w:t>；秋季</w:t>
            </w:r>
            <w:r>
              <w:rPr>
                <w:rFonts w:hint="eastAsia"/>
                <w:szCs w:val="21"/>
              </w:rPr>
              <w:sym w:font="Wingdings" w:char="00A8"/>
            </w:r>
            <w:r>
              <w:rPr>
                <w:rFonts w:hint="eastAsia"/>
                <w:szCs w:val="21"/>
              </w:rPr>
              <w:t>；冬季</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jc w:val="center"/>
              <w:rPr>
                <w:rFonts w:hint="eastAsia"/>
                <w:szCs w:val="21"/>
              </w:rPr>
            </w:pPr>
          </w:p>
        </w:tc>
        <w:tc>
          <w:tcPr>
            <w:tcW w:w="1232" w:type="dxa"/>
            <w:noWrap w:val="0"/>
            <w:vAlign w:val="center"/>
          </w:tcPr>
          <w:p>
            <w:pPr>
              <w:jc w:val="center"/>
              <w:rPr>
                <w:rFonts w:hint="eastAsia"/>
                <w:szCs w:val="21"/>
              </w:rPr>
            </w:pPr>
            <w:r>
              <w:rPr>
                <w:rFonts w:hint="eastAsia"/>
                <w:szCs w:val="21"/>
              </w:rPr>
              <w:t>评价结论</w:t>
            </w:r>
          </w:p>
        </w:tc>
        <w:tc>
          <w:tcPr>
            <w:tcW w:w="6991" w:type="dxa"/>
            <w:gridSpan w:val="5"/>
            <w:noWrap w:val="0"/>
            <w:vAlign w:val="top"/>
          </w:tcPr>
          <w:p>
            <w:pPr>
              <w:rPr>
                <w:rFonts w:hint="eastAsia"/>
                <w:szCs w:val="21"/>
              </w:rPr>
            </w:pPr>
            <w:r>
              <w:rPr>
                <w:rFonts w:hint="eastAsia"/>
                <w:szCs w:val="21"/>
              </w:rPr>
              <w:t>水环境功能区或水功能区、近岸海域环境功能区水质达标状况：达标</w:t>
            </w:r>
            <w:r>
              <w:rPr>
                <w:rFonts w:hint="eastAsia"/>
                <w:szCs w:val="21"/>
              </w:rPr>
              <w:sym w:font="Wingdings" w:char="00A8"/>
            </w:r>
            <w:r>
              <w:rPr>
                <w:rFonts w:hint="eastAsia"/>
                <w:szCs w:val="21"/>
              </w:rPr>
              <w:t>；不达标</w:t>
            </w:r>
            <w:r>
              <w:rPr>
                <w:rFonts w:hint="eastAsia"/>
                <w:szCs w:val="21"/>
              </w:rPr>
              <w:sym w:font="Wingdings" w:char="00A8"/>
            </w:r>
          </w:p>
          <w:p>
            <w:pPr>
              <w:rPr>
                <w:rFonts w:hint="eastAsia"/>
                <w:szCs w:val="21"/>
              </w:rPr>
            </w:pPr>
            <w:r>
              <w:rPr>
                <w:rFonts w:hint="eastAsia"/>
                <w:szCs w:val="21"/>
              </w:rPr>
              <w:t>水环境控制单元或断面水质达标状况：达标</w:t>
            </w:r>
            <w:r>
              <w:rPr>
                <w:rFonts w:hint="eastAsia"/>
                <w:szCs w:val="21"/>
              </w:rPr>
              <w:sym w:font="Wingdings" w:char="00A8"/>
            </w:r>
            <w:r>
              <w:rPr>
                <w:rFonts w:hint="eastAsia"/>
                <w:szCs w:val="21"/>
              </w:rPr>
              <w:t>；不达标</w:t>
            </w:r>
            <w:r>
              <w:rPr>
                <w:rFonts w:hint="eastAsia"/>
                <w:szCs w:val="21"/>
              </w:rPr>
              <w:sym w:font="Wingdings" w:char="00A8"/>
            </w:r>
          </w:p>
          <w:p>
            <w:pPr>
              <w:rPr>
                <w:rFonts w:hint="eastAsia"/>
                <w:szCs w:val="21"/>
              </w:rPr>
            </w:pPr>
            <w:r>
              <w:rPr>
                <w:rFonts w:hint="eastAsia"/>
                <w:szCs w:val="21"/>
              </w:rPr>
              <w:t>水环境保护目标质量状况：达标</w:t>
            </w:r>
            <w:r>
              <w:rPr>
                <w:rFonts w:hint="eastAsia"/>
                <w:szCs w:val="21"/>
              </w:rPr>
              <w:sym w:font="Wingdings" w:char="00A8"/>
            </w:r>
            <w:r>
              <w:rPr>
                <w:rFonts w:hint="eastAsia"/>
                <w:szCs w:val="21"/>
              </w:rPr>
              <w:t>；不达标</w:t>
            </w:r>
            <w:r>
              <w:rPr>
                <w:rFonts w:hint="eastAsia"/>
                <w:szCs w:val="21"/>
              </w:rPr>
              <w:sym w:font="Wingdings" w:char="00A8"/>
            </w:r>
          </w:p>
          <w:p>
            <w:pPr>
              <w:rPr>
                <w:rFonts w:hint="eastAsia"/>
                <w:szCs w:val="21"/>
              </w:rPr>
            </w:pPr>
            <w:r>
              <w:rPr>
                <w:rFonts w:hint="eastAsia"/>
                <w:szCs w:val="21"/>
              </w:rPr>
              <w:t>对照断面、控制断面等代表性断面的水质状况：达标</w:t>
            </w:r>
            <w:r>
              <w:rPr>
                <w:rFonts w:hint="eastAsia"/>
                <w:szCs w:val="21"/>
              </w:rPr>
              <w:sym w:font="Wingdings" w:char="00A8"/>
            </w:r>
            <w:r>
              <w:rPr>
                <w:rFonts w:hint="eastAsia"/>
                <w:szCs w:val="21"/>
              </w:rPr>
              <w:t>；不达标</w:t>
            </w:r>
            <w:r>
              <w:rPr>
                <w:rFonts w:hint="eastAsia"/>
                <w:szCs w:val="21"/>
              </w:rPr>
              <w:sym w:font="Wingdings" w:char="00A8"/>
            </w:r>
          </w:p>
          <w:p>
            <w:pPr>
              <w:rPr>
                <w:rFonts w:hint="eastAsia"/>
                <w:szCs w:val="21"/>
              </w:rPr>
            </w:pPr>
            <w:r>
              <w:rPr>
                <w:rFonts w:hint="eastAsia"/>
                <w:szCs w:val="21"/>
              </w:rPr>
              <w:t>底泥污染评价</w:t>
            </w:r>
            <w:r>
              <w:rPr>
                <w:rFonts w:hint="eastAsia"/>
                <w:szCs w:val="21"/>
              </w:rPr>
              <w:sym w:font="Wingdings" w:char="00A8"/>
            </w:r>
          </w:p>
          <w:p>
            <w:pPr>
              <w:pStyle w:val="2"/>
              <w:spacing w:line="240" w:lineRule="auto"/>
              <w:rPr>
                <w:rFonts w:hint="eastAsia"/>
                <w:sz w:val="21"/>
                <w:szCs w:val="21"/>
              </w:rPr>
            </w:pPr>
            <w:r>
              <w:rPr>
                <w:rFonts w:hint="eastAsia"/>
                <w:sz w:val="21"/>
                <w:szCs w:val="21"/>
              </w:rPr>
              <w:t>水资源与开发利用程度及其水文情势评价</w:t>
            </w:r>
            <w:r>
              <w:rPr>
                <w:rFonts w:hint="eastAsia"/>
                <w:szCs w:val="21"/>
              </w:rPr>
              <w:sym w:font="Wingdings" w:char="00A8"/>
            </w:r>
          </w:p>
          <w:p>
            <w:pPr>
              <w:pStyle w:val="2"/>
              <w:spacing w:line="240" w:lineRule="auto"/>
              <w:rPr>
                <w:rFonts w:hint="eastAsia"/>
                <w:sz w:val="21"/>
                <w:szCs w:val="21"/>
              </w:rPr>
            </w:pPr>
            <w:r>
              <w:rPr>
                <w:rFonts w:hint="eastAsia"/>
                <w:sz w:val="21"/>
                <w:szCs w:val="21"/>
              </w:rPr>
              <w:t>水环境质量回顾评价</w:t>
            </w:r>
            <w:r>
              <w:rPr>
                <w:rFonts w:hint="eastAsia"/>
                <w:szCs w:val="21"/>
              </w:rPr>
              <w:sym w:font="Wingdings" w:char="00A8"/>
            </w:r>
          </w:p>
          <w:p>
            <w:pPr>
              <w:pStyle w:val="2"/>
              <w:spacing w:line="240" w:lineRule="auto"/>
              <w:rPr>
                <w:rFonts w:hint="eastAsia"/>
                <w:sz w:val="21"/>
                <w:szCs w:val="21"/>
              </w:rPr>
            </w:pPr>
            <w:r>
              <w:rPr>
                <w:rFonts w:hint="eastAsia"/>
                <w:sz w:val="21"/>
                <w:szCs w:val="21"/>
              </w:rPr>
              <w:t>流域（区域）水资源（包括水能资源）与开发利用总体状况、生态流量管理要求与现状满足程度、建设项目占用水域空间的水流状况与河湖演变状况</w:t>
            </w:r>
            <w:r>
              <w:rPr>
                <w:rFonts w:hint="eastAsia"/>
                <w:szCs w:val="21"/>
              </w:rPr>
              <w:sym w:font="Wingdings" w:char="00A8"/>
            </w:r>
          </w:p>
        </w:tc>
        <w:tc>
          <w:tcPr>
            <w:tcW w:w="595" w:type="dxa"/>
            <w:noWrap w:val="0"/>
            <w:vAlign w:val="top"/>
          </w:tcPr>
          <w:p>
            <w:pPr>
              <w:rPr>
                <w:rFonts w:hint="eastAsia"/>
                <w:szCs w:val="21"/>
              </w:rPr>
            </w:pPr>
            <w:r>
              <w:rPr>
                <w:rFonts w:hint="eastAsia"/>
                <w:szCs w:val="21"/>
              </w:rPr>
              <w:t>达标区</w:t>
            </w:r>
            <w:r>
              <w:rPr>
                <w:rFonts w:hint="eastAsia"/>
                <w:szCs w:val="21"/>
              </w:rPr>
              <w:sym w:font="Wingdings" w:char="00A8"/>
            </w:r>
          </w:p>
          <w:p>
            <w:pPr>
              <w:pStyle w:val="2"/>
              <w:spacing w:line="240" w:lineRule="auto"/>
              <w:rPr>
                <w:rFonts w:hint="eastAsia"/>
                <w:sz w:val="21"/>
                <w:szCs w:val="21"/>
              </w:rPr>
            </w:pPr>
            <w:r>
              <w:rPr>
                <w:rFonts w:hint="eastAsia"/>
                <w:sz w:val="21"/>
                <w:szCs w:val="21"/>
              </w:rPr>
              <w:t>不达标区</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restart"/>
            <w:noWrap w:val="0"/>
            <w:vAlign w:val="center"/>
          </w:tcPr>
          <w:p>
            <w:pPr>
              <w:rPr>
                <w:rFonts w:hint="eastAsia"/>
                <w:szCs w:val="21"/>
              </w:rPr>
            </w:pPr>
            <w:r>
              <w:rPr>
                <w:rFonts w:hint="eastAsia"/>
                <w:szCs w:val="21"/>
              </w:rPr>
              <w:t>影响预测</w:t>
            </w:r>
          </w:p>
        </w:tc>
        <w:tc>
          <w:tcPr>
            <w:tcW w:w="1232" w:type="dxa"/>
            <w:noWrap w:val="0"/>
            <w:vAlign w:val="center"/>
          </w:tcPr>
          <w:p>
            <w:pPr>
              <w:rPr>
                <w:rFonts w:hint="eastAsia"/>
                <w:szCs w:val="21"/>
              </w:rPr>
            </w:pPr>
            <w:r>
              <w:rPr>
                <w:rFonts w:hint="eastAsia"/>
                <w:szCs w:val="21"/>
              </w:rPr>
              <w:t>预测范围</w:t>
            </w:r>
          </w:p>
        </w:tc>
        <w:tc>
          <w:tcPr>
            <w:tcW w:w="7586" w:type="dxa"/>
            <w:gridSpan w:val="6"/>
            <w:noWrap w:val="0"/>
            <w:vAlign w:val="center"/>
          </w:tcPr>
          <w:p>
            <w:pPr>
              <w:rPr>
                <w:rFonts w:hint="eastAsia"/>
                <w:szCs w:val="21"/>
              </w:rPr>
            </w:pPr>
            <w:r>
              <w:rPr>
                <w:rFonts w:hint="eastAsia"/>
                <w:szCs w:val="21"/>
              </w:rPr>
              <w:t>河流：长度（）km；湖库、河口及近岸海域：面积（）km</w:t>
            </w:r>
            <w:r>
              <w:rPr>
                <w:rFonts w:hint="eastAsia"/>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预测因子</w:t>
            </w:r>
          </w:p>
        </w:tc>
        <w:tc>
          <w:tcPr>
            <w:tcW w:w="7586" w:type="dxa"/>
            <w:gridSpan w:val="6"/>
            <w:noWrap w:val="0"/>
            <w:vAlign w:val="center"/>
          </w:tcPr>
          <w:p>
            <w:pP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预测时期</w:t>
            </w:r>
          </w:p>
        </w:tc>
        <w:tc>
          <w:tcPr>
            <w:tcW w:w="7586" w:type="dxa"/>
            <w:gridSpan w:val="6"/>
            <w:noWrap w:val="0"/>
            <w:vAlign w:val="center"/>
          </w:tcPr>
          <w:p>
            <w:pPr>
              <w:rPr>
                <w:rFonts w:hint="eastAsia"/>
                <w:szCs w:val="21"/>
              </w:rPr>
            </w:pPr>
            <w:r>
              <w:rPr>
                <w:rFonts w:hint="eastAsia"/>
                <w:szCs w:val="21"/>
              </w:rPr>
              <w:t>丰水期</w:t>
            </w:r>
            <w:r>
              <w:rPr>
                <w:rFonts w:hint="eastAsia"/>
                <w:szCs w:val="21"/>
              </w:rPr>
              <w:sym w:font="Wingdings" w:char="00A8"/>
            </w:r>
            <w:r>
              <w:rPr>
                <w:rFonts w:hint="eastAsia"/>
                <w:szCs w:val="21"/>
              </w:rPr>
              <w:t>；平水期</w:t>
            </w:r>
            <w:r>
              <w:rPr>
                <w:rFonts w:hint="eastAsia"/>
                <w:szCs w:val="21"/>
              </w:rPr>
              <w:sym w:font="Wingdings" w:char="00A8"/>
            </w:r>
            <w:r>
              <w:rPr>
                <w:rFonts w:hint="eastAsia"/>
                <w:szCs w:val="21"/>
              </w:rPr>
              <w:t>；枯水期</w:t>
            </w:r>
            <w:r>
              <w:rPr>
                <w:rFonts w:hint="eastAsia"/>
                <w:szCs w:val="21"/>
              </w:rPr>
              <w:sym w:font="Wingdings" w:char="00A8"/>
            </w:r>
            <w:r>
              <w:rPr>
                <w:rFonts w:hint="eastAsia"/>
                <w:szCs w:val="21"/>
              </w:rPr>
              <w:t>；冰封期</w:t>
            </w:r>
            <w:r>
              <w:rPr>
                <w:rFonts w:hint="eastAsia"/>
                <w:szCs w:val="21"/>
              </w:rPr>
              <w:sym w:font="Wingdings" w:char="00A8"/>
            </w:r>
            <w:r>
              <w:rPr>
                <w:rFonts w:hint="eastAsia"/>
                <w:szCs w:val="21"/>
              </w:rPr>
              <w:t>；春季</w:t>
            </w:r>
            <w:r>
              <w:rPr>
                <w:rFonts w:hint="eastAsia"/>
                <w:szCs w:val="21"/>
              </w:rPr>
              <w:sym w:font="Wingdings" w:char="00A8"/>
            </w:r>
            <w:r>
              <w:rPr>
                <w:rFonts w:hint="eastAsia"/>
                <w:szCs w:val="21"/>
              </w:rPr>
              <w:t>；夏季</w:t>
            </w:r>
            <w:r>
              <w:rPr>
                <w:rFonts w:hint="eastAsia"/>
                <w:szCs w:val="21"/>
              </w:rPr>
              <w:sym w:font="Wingdings" w:char="00A8"/>
            </w:r>
            <w:r>
              <w:rPr>
                <w:rFonts w:hint="eastAsia"/>
                <w:szCs w:val="21"/>
              </w:rPr>
              <w:t>；秋季</w:t>
            </w:r>
            <w:r>
              <w:rPr>
                <w:rFonts w:hint="eastAsia"/>
                <w:szCs w:val="21"/>
              </w:rPr>
              <w:sym w:font="Wingdings" w:char="00A8"/>
            </w:r>
            <w:r>
              <w:rPr>
                <w:rFonts w:hint="eastAsia"/>
                <w:szCs w:val="21"/>
              </w:rPr>
              <w:t>；冬季</w:t>
            </w:r>
            <w:r>
              <w:rPr>
                <w:rFonts w:hint="eastAsia"/>
                <w:szCs w:val="21"/>
              </w:rPr>
              <w:sym w:font="Wingdings" w:char="00A8"/>
            </w:r>
          </w:p>
          <w:p>
            <w:pPr>
              <w:pStyle w:val="2"/>
              <w:spacing w:line="240" w:lineRule="auto"/>
              <w:rPr>
                <w:rFonts w:hint="eastAsia"/>
                <w:sz w:val="21"/>
                <w:szCs w:val="21"/>
              </w:rPr>
            </w:pPr>
            <w:r>
              <w:rPr>
                <w:rFonts w:hint="eastAsia"/>
                <w:sz w:val="21"/>
                <w:szCs w:val="21"/>
              </w:rPr>
              <w:t>设计水文条件</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预测情景</w:t>
            </w:r>
          </w:p>
        </w:tc>
        <w:tc>
          <w:tcPr>
            <w:tcW w:w="7586" w:type="dxa"/>
            <w:gridSpan w:val="6"/>
            <w:noWrap w:val="0"/>
            <w:vAlign w:val="center"/>
          </w:tcPr>
          <w:p>
            <w:pPr>
              <w:rPr>
                <w:rFonts w:hint="eastAsia"/>
                <w:szCs w:val="21"/>
              </w:rPr>
            </w:pPr>
            <w:r>
              <w:rPr>
                <w:rFonts w:hint="eastAsia"/>
                <w:szCs w:val="21"/>
              </w:rPr>
              <w:t>建设期</w:t>
            </w:r>
            <w:r>
              <w:rPr>
                <w:rFonts w:hint="eastAsia"/>
                <w:szCs w:val="21"/>
              </w:rPr>
              <w:sym w:font="Wingdings" w:char="00A8"/>
            </w:r>
            <w:r>
              <w:rPr>
                <w:rFonts w:hint="eastAsia"/>
                <w:szCs w:val="21"/>
              </w:rPr>
              <w:t>；生产运行期</w:t>
            </w:r>
            <w:r>
              <w:rPr>
                <w:rFonts w:hint="eastAsia"/>
                <w:szCs w:val="21"/>
              </w:rPr>
              <w:sym w:font="Wingdings" w:char="00A8"/>
            </w:r>
            <w:r>
              <w:rPr>
                <w:rFonts w:hint="eastAsia"/>
                <w:szCs w:val="21"/>
              </w:rPr>
              <w:t>；服务期满后</w:t>
            </w:r>
            <w:r>
              <w:rPr>
                <w:rFonts w:hint="eastAsia"/>
                <w:szCs w:val="21"/>
              </w:rPr>
              <w:sym w:font="Wingdings" w:char="00A8"/>
            </w:r>
          </w:p>
          <w:p>
            <w:pPr>
              <w:pStyle w:val="2"/>
              <w:spacing w:line="240" w:lineRule="auto"/>
              <w:rPr>
                <w:rFonts w:hint="eastAsia"/>
                <w:sz w:val="21"/>
                <w:szCs w:val="21"/>
              </w:rPr>
            </w:pPr>
            <w:r>
              <w:rPr>
                <w:rFonts w:hint="eastAsia"/>
                <w:sz w:val="21"/>
                <w:szCs w:val="21"/>
              </w:rPr>
              <w:t>正常工况</w:t>
            </w:r>
            <w:r>
              <w:rPr>
                <w:rFonts w:hint="eastAsia"/>
                <w:szCs w:val="21"/>
              </w:rPr>
              <w:sym w:font="Wingdings" w:char="00A8"/>
            </w:r>
            <w:r>
              <w:rPr>
                <w:rFonts w:hint="eastAsia"/>
                <w:sz w:val="21"/>
                <w:szCs w:val="21"/>
              </w:rPr>
              <w:t>；非正常工况</w:t>
            </w:r>
            <w:r>
              <w:rPr>
                <w:rFonts w:hint="eastAsia"/>
                <w:szCs w:val="21"/>
              </w:rPr>
              <w:sym w:font="Wingdings" w:char="00A8"/>
            </w:r>
          </w:p>
          <w:p>
            <w:pPr>
              <w:pStyle w:val="2"/>
              <w:spacing w:line="240" w:lineRule="auto"/>
              <w:rPr>
                <w:rFonts w:hint="eastAsia"/>
                <w:sz w:val="21"/>
                <w:szCs w:val="21"/>
              </w:rPr>
            </w:pPr>
            <w:r>
              <w:rPr>
                <w:rFonts w:hint="eastAsia"/>
                <w:sz w:val="21"/>
                <w:szCs w:val="21"/>
              </w:rPr>
              <w:t>污染控制和减缓措施方案</w:t>
            </w:r>
            <w:r>
              <w:rPr>
                <w:rFonts w:hint="eastAsia"/>
                <w:szCs w:val="21"/>
              </w:rPr>
              <w:sym w:font="Wingdings" w:char="00A8"/>
            </w:r>
          </w:p>
          <w:p>
            <w:pPr>
              <w:rPr>
                <w:rFonts w:hint="eastAsia"/>
                <w:szCs w:val="21"/>
              </w:rPr>
            </w:pPr>
            <w:r>
              <w:rPr>
                <w:rFonts w:hint="eastAsia"/>
                <w:szCs w:val="21"/>
              </w:rPr>
              <w:t>区（流）域环境质量改善目标要求情景</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预测方法</w:t>
            </w:r>
          </w:p>
        </w:tc>
        <w:tc>
          <w:tcPr>
            <w:tcW w:w="7586" w:type="dxa"/>
            <w:gridSpan w:val="6"/>
            <w:noWrap w:val="0"/>
            <w:vAlign w:val="center"/>
          </w:tcPr>
          <w:p>
            <w:pPr>
              <w:rPr>
                <w:rFonts w:hint="eastAsia"/>
                <w:szCs w:val="21"/>
              </w:rPr>
            </w:pPr>
            <w:r>
              <w:rPr>
                <w:rFonts w:hint="eastAsia"/>
                <w:szCs w:val="21"/>
              </w:rPr>
              <w:t>数值解</w:t>
            </w:r>
            <w:r>
              <w:rPr>
                <w:rFonts w:hint="eastAsia"/>
                <w:szCs w:val="21"/>
              </w:rPr>
              <w:sym w:font="Wingdings" w:char="00A8"/>
            </w:r>
            <w:r>
              <w:rPr>
                <w:rFonts w:hint="eastAsia"/>
                <w:szCs w:val="21"/>
              </w:rPr>
              <w:t>；解析解</w:t>
            </w:r>
            <w:r>
              <w:rPr>
                <w:rFonts w:hint="eastAsia"/>
                <w:szCs w:val="21"/>
              </w:rPr>
              <w:sym w:font="Wingdings" w:char="00A8"/>
            </w:r>
            <w:r>
              <w:rPr>
                <w:rFonts w:hint="eastAsia"/>
                <w:szCs w:val="21"/>
              </w:rPr>
              <w:t>；其他</w:t>
            </w:r>
            <w:r>
              <w:rPr>
                <w:rFonts w:hint="eastAsia"/>
                <w:szCs w:val="21"/>
              </w:rPr>
              <w:sym w:font="Wingdings" w:char="00A8"/>
            </w:r>
          </w:p>
          <w:p>
            <w:pPr>
              <w:rPr>
                <w:rFonts w:hint="eastAsia"/>
                <w:szCs w:val="21"/>
              </w:rPr>
            </w:pPr>
            <w:r>
              <w:rPr>
                <w:rFonts w:hint="eastAsia"/>
                <w:szCs w:val="21"/>
              </w:rPr>
              <w:t>导则推荐模式</w:t>
            </w:r>
            <w:r>
              <w:rPr>
                <w:rFonts w:hint="eastAsia"/>
                <w:szCs w:val="21"/>
              </w:rPr>
              <w:sym w:font="Wingdings" w:char="00A8"/>
            </w:r>
            <w:r>
              <w:rPr>
                <w:rFonts w:hint="eastAsia"/>
                <w:szCs w:val="21"/>
              </w:rPr>
              <w:t>；其他</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restart"/>
            <w:noWrap w:val="0"/>
            <w:vAlign w:val="center"/>
          </w:tcPr>
          <w:p>
            <w:pPr>
              <w:rPr>
                <w:rFonts w:hint="eastAsia"/>
                <w:szCs w:val="21"/>
              </w:rPr>
            </w:pPr>
            <w:r>
              <w:rPr>
                <w:rFonts w:hint="eastAsia"/>
                <w:szCs w:val="21"/>
              </w:rPr>
              <w:t>影响评价</w:t>
            </w:r>
          </w:p>
        </w:tc>
        <w:tc>
          <w:tcPr>
            <w:tcW w:w="1232" w:type="dxa"/>
            <w:noWrap w:val="0"/>
            <w:vAlign w:val="center"/>
          </w:tcPr>
          <w:p>
            <w:pPr>
              <w:rPr>
                <w:rFonts w:hint="eastAsia"/>
                <w:szCs w:val="21"/>
              </w:rPr>
            </w:pPr>
            <w:r>
              <w:rPr>
                <w:rFonts w:hint="eastAsia"/>
                <w:szCs w:val="21"/>
              </w:rPr>
              <w:t>水污染控制和水环境影响减缓措施有效性评价</w:t>
            </w:r>
          </w:p>
        </w:tc>
        <w:tc>
          <w:tcPr>
            <w:tcW w:w="7586" w:type="dxa"/>
            <w:gridSpan w:val="6"/>
            <w:noWrap w:val="0"/>
            <w:vAlign w:val="center"/>
          </w:tcPr>
          <w:p>
            <w:pPr>
              <w:rPr>
                <w:rFonts w:hint="eastAsia"/>
                <w:szCs w:val="21"/>
              </w:rPr>
            </w:pPr>
            <w:r>
              <w:rPr>
                <w:rFonts w:hint="eastAsia"/>
                <w:szCs w:val="21"/>
              </w:rPr>
              <w:t>区（流）域环境质量改善目标</w:t>
            </w:r>
            <w:r>
              <w:rPr>
                <w:rFonts w:hint="eastAsia"/>
                <w:szCs w:val="21"/>
              </w:rPr>
              <w:sym w:font="Wingdings" w:char="00A8"/>
            </w:r>
            <w:r>
              <w:rPr>
                <w:rFonts w:hint="eastAsia"/>
                <w:szCs w:val="21"/>
              </w:rPr>
              <w:t>；替代消减源</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水环境影响评价</w:t>
            </w:r>
          </w:p>
        </w:tc>
        <w:tc>
          <w:tcPr>
            <w:tcW w:w="7586" w:type="dxa"/>
            <w:gridSpan w:val="6"/>
            <w:noWrap w:val="0"/>
            <w:vAlign w:val="center"/>
          </w:tcPr>
          <w:p>
            <w:pPr>
              <w:rPr>
                <w:rFonts w:hint="eastAsia"/>
                <w:szCs w:val="21"/>
              </w:rPr>
            </w:pPr>
            <w:r>
              <w:rPr>
                <w:rFonts w:hint="eastAsia"/>
                <w:szCs w:val="21"/>
              </w:rPr>
              <w:t>排放口混合区外满足水环境管理要求</w:t>
            </w:r>
            <w:r>
              <w:rPr>
                <w:rFonts w:hint="eastAsia"/>
                <w:szCs w:val="21"/>
              </w:rPr>
              <w:sym w:font="Wingdings" w:char="00A8"/>
            </w:r>
          </w:p>
          <w:p>
            <w:pPr>
              <w:pStyle w:val="2"/>
              <w:spacing w:line="240" w:lineRule="auto"/>
              <w:rPr>
                <w:rFonts w:hint="eastAsia"/>
                <w:sz w:val="21"/>
                <w:szCs w:val="21"/>
              </w:rPr>
            </w:pPr>
            <w:r>
              <w:rPr>
                <w:rFonts w:hint="eastAsia"/>
                <w:sz w:val="21"/>
                <w:szCs w:val="21"/>
              </w:rPr>
              <w:t>水环境功能区或水功能区、近岸海域环境功能区水质达标</w:t>
            </w:r>
            <w:r>
              <w:rPr>
                <w:rFonts w:hint="eastAsia"/>
                <w:szCs w:val="21"/>
              </w:rPr>
              <w:sym w:font="Wingdings" w:char="00A8"/>
            </w:r>
          </w:p>
          <w:p>
            <w:pPr>
              <w:pStyle w:val="2"/>
              <w:spacing w:line="240" w:lineRule="auto"/>
              <w:rPr>
                <w:rFonts w:hint="eastAsia"/>
                <w:sz w:val="21"/>
                <w:szCs w:val="21"/>
              </w:rPr>
            </w:pPr>
            <w:r>
              <w:rPr>
                <w:rFonts w:hint="eastAsia"/>
                <w:sz w:val="21"/>
                <w:szCs w:val="21"/>
              </w:rPr>
              <w:t>满足水环境保护目标水域水环境质量要求</w:t>
            </w:r>
            <w:r>
              <w:rPr>
                <w:rFonts w:hint="eastAsia"/>
                <w:szCs w:val="21"/>
              </w:rPr>
              <w:sym w:font="Wingdings" w:char="00A8"/>
            </w:r>
          </w:p>
          <w:p>
            <w:pPr>
              <w:pStyle w:val="2"/>
              <w:spacing w:line="240" w:lineRule="auto"/>
              <w:rPr>
                <w:rFonts w:hint="eastAsia"/>
                <w:sz w:val="21"/>
                <w:szCs w:val="21"/>
              </w:rPr>
            </w:pPr>
            <w:r>
              <w:rPr>
                <w:rFonts w:hint="eastAsia"/>
                <w:sz w:val="21"/>
                <w:szCs w:val="21"/>
              </w:rPr>
              <w:t>水环境控制单元或断面水质达标</w:t>
            </w:r>
            <w:r>
              <w:rPr>
                <w:rFonts w:hint="eastAsia"/>
                <w:szCs w:val="21"/>
              </w:rPr>
              <w:sym w:font="Wingdings" w:char="00A8"/>
            </w:r>
          </w:p>
          <w:p>
            <w:pPr>
              <w:pStyle w:val="2"/>
              <w:spacing w:line="240" w:lineRule="auto"/>
              <w:rPr>
                <w:rFonts w:hint="eastAsia"/>
                <w:sz w:val="21"/>
                <w:szCs w:val="21"/>
              </w:rPr>
            </w:pPr>
            <w:r>
              <w:rPr>
                <w:rFonts w:hint="eastAsia"/>
                <w:sz w:val="21"/>
                <w:szCs w:val="21"/>
              </w:rPr>
              <w:t>满足重点水污染物排放总量控制指标要求，重点行业建设项目，主要污染物排放满足等量或减量替代要求</w:t>
            </w:r>
            <w:r>
              <w:rPr>
                <w:rFonts w:hint="eastAsia"/>
                <w:szCs w:val="21"/>
              </w:rPr>
              <w:sym w:font="Wingdings" w:char="00A8"/>
            </w:r>
          </w:p>
          <w:p>
            <w:pPr>
              <w:pStyle w:val="2"/>
              <w:spacing w:line="240" w:lineRule="auto"/>
              <w:rPr>
                <w:rFonts w:hint="eastAsia"/>
                <w:sz w:val="21"/>
                <w:szCs w:val="21"/>
              </w:rPr>
            </w:pPr>
            <w:r>
              <w:rPr>
                <w:rFonts w:hint="eastAsia"/>
                <w:sz w:val="21"/>
                <w:szCs w:val="21"/>
              </w:rPr>
              <w:t>满足区（流）域水环境质量改善目标要求</w:t>
            </w:r>
            <w:r>
              <w:rPr>
                <w:rFonts w:hint="eastAsia"/>
                <w:szCs w:val="21"/>
              </w:rPr>
              <w:sym w:font="Wingdings" w:char="00A8"/>
            </w:r>
          </w:p>
          <w:p>
            <w:pPr>
              <w:pStyle w:val="2"/>
              <w:spacing w:line="240" w:lineRule="auto"/>
              <w:rPr>
                <w:rFonts w:hint="eastAsia"/>
                <w:sz w:val="21"/>
                <w:szCs w:val="21"/>
              </w:rPr>
            </w:pPr>
            <w:r>
              <w:rPr>
                <w:rFonts w:hint="eastAsia"/>
                <w:sz w:val="21"/>
                <w:szCs w:val="21"/>
              </w:rPr>
              <w:t>水文要素影响型建设项目同时应包括水文情势变化评价、主要水文特征值影响评价、生态流量符合性评价</w:t>
            </w:r>
            <w:r>
              <w:rPr>
                <w:rFonts w:hint="eastAsia"/>
                <w:szCs w:val="21"/>
              </w:rPr>
              <w:sym w:font="Wingdings" w:char="00A8"/>
            </w:r>
          </w:p>
          <w:p>
            <w:pPr>
              <w:pStyle w:val="2"/>
              <w:spacing w:line="240" w:lineRule="auto"/>
              <w:rPr>
                <w:rFonts w:hint="eastAsia"/>
                <w:sz w:val="21"/>
                <w:szCs w:val="21"/>
              </w:rPr>
            </w:pPr>
            <w:r>
              <w:rPr>
                <w:rFonts w:hint="eastAsia"/>
                <w:sz w:val="21"/>
                <w:szCs w:val="21"/>
              </w:rPr>
              <w:t>对于新设或调整入河（湖库、近岸海域）排放口的建设项目，应包括排放口设置的环境合理性评价</w:t>
            </w:r>
            <w:r>
              <w:rPr>
                <w:rFonts w:hint="eastAsia"/>
                <w:szCs w:val="21"/>
              </w:rPr>
              <w:sym w:font="Wingdings" w:char="00A8"/>
            </w:r>
          </w:p>
          <w:p>
            <w:pPr>
              <w:rPr>
                <w:rFonts w:hint="eastAsia"/>
                <w:szCs w:val="21"/>
              </w:rPr>
            </w:pPr>
            <w:r>
              <w:rPr>
                <w:rFonts w:hint="eastAsia"/>
                <w:szCs w:val="21"/>
              </w:rPr>
              <w:t>满足生态保护红线、水环境质量底线、资源利用上线和环境准入清单管理要求</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top"/>
          </w:tcPr>
          <w:p>
            <w:pPr>
              <w:rPr>
                <w:rFonts w:hint="eastAsia"/>
                <w:szCs w:val="21"/>
              </w:rPr>
            </w:pPr>
          </w:p>
        </w:tc>
        <w:tc>
          <w:tcPr>
            <w:tcW w:w="1232" w:type="dxa"/>
            <w:vMerge w:val="restart"/>
            <w:noWrap w:val="0"/>
            <w:vAlign w:val="top"/>
          </w:tcPr>
          <w:p>
            <w:pPr>
              <w:rPr>
                <w:rFonts w:hint="eastAsia"/>
                <w:szCs w:val="21"/>
              </w:rPr>
            </w:pPr>
            <w:r>
              <w:rPr>
                <w:rFonts w:hint="eastAsia"/>
                <w:szCs w:val="21"/>
              </w:rPr>
              <w:t>污染源排放量核算</w:t>
            </w:r>
          </w:p>
        </w:tc>
        <w:tc>
          <w:tcPr>
            <w:tcW w:w="2114" w:type="dxa"/>
            <w:noWrap w:val="0"/>
            <w:vAlign w:val="top"/>
          </w:tcPr>
          <w:p>
            <w:pPr>
              <w:rPr>
                <w:rFonts w:hint="eastAsia"/>
                <w:szCs w:val="21"/>
              </w:rPr>
            </w:pPr>
            <w:r>
              <w:rPr>
                <w:rFonts w:hint="eastAsia"/>
                <w:szCs w:val="21"/>
              </w:rPr>
              <w:t>污染物名称</w:t>
            </w:r>
          </w:p>
        </w:tc>
        <w:tc>
          <w:tcPr>
            <w:tcW w:w="2114" w:type="dxa"/>
            <w:noWrap w:val="0"/>
            <w:vAlign w:val="top"/>
          </w:tcPr>
          <w:p>
            <w:pPr>
              <w:rPr>
                <w:rFonts w:hint="eastAsia"/>
                <w:szCs w:val="21"/>
              </w:rPr>
            </w:pPr>
            <w:r>
              <w:rPr>
                <w:rFonts w:hint="eastAsia"/>
                <w:szCs w:val="21"/>
              </w:rPr>
              <w:t>排放量/（t/a）</w:t>
            </w:r>
          </w:p>
        </w:tc>
        <w:tc>
          <w:tcPr>
            <w:tcW w:w="3358" w:type="dxa"/>
            <w:gridSpan w:val="4"/>
            <w:noWrap w:val="0"/>
            <w:vAlign w:val="top"/>
          </w:tcPr>
          <w:p>
            <w:pPr>
              <w:rPr>
                <w:rFonts w:hint="eastAsia"/>
                <w:szCs w:val="21"/>
              </w:rPr>
            </w:pPr>
            <w:r>
              <w:rPr>
                <w:rFonts w:hint="eastAsia"/>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top"/>
          </w:tcPr>
          <w:p>
            <w:pPr>
              <w:rPr>
                <w:rFonts w:hint="eastAsia"/>
                <w:szCs w:val="21"/>
              </w:rPr>
            </w:pPr>
          </w:p>
        </w:tc>
        <w:tc>
          <w:tcPr>
            <w:tcW w:w="1232" w:type="dxa"/>
            <w:vMerge w:val="continue"/>
            <w:noWrap w:val="0"/>
            <w:vAlign w:val="top"/>
          </w:tcPr>
          <w:p>
            <w:pPr>
              <w:rPr>
                <w:rFonts w:hint="eastAsia"/>
                <w:szCs w:val="21"/>
              </w:rPr>
            </w:pPr>
          </w:p>
        </w:tc>
        <w:tc>
          <w:tcPr>
            <w:tcW w:w="2114" w:type="dxa"/>
            <w:noWrap w:val="0"/>
            <w:vAlign w:val="top"/>
          </w:tcPr>
          <w:p>
            <w:pPr>
              <w:rPr>
                <w:rFonts w:hint="eastAsia"/>
                <w:szCs w:val="21"/>
              </w:rPr>
            </w:pPr>
          </w:p>
        </w:tc>
        <w:tc>
          <w:tcPr>
            <w:tcW w:w="2114" w:type="dxa"/>
            <w:noWrap w:val="0"/>
            <w:vAlign w:val="top"/>
          </w:tcPr>
          <w:p>
            <w:pPr>
              <w:rPr>
                <w:rFonts w:hint="eastAsia"/>
                <w:szCs w:val="21"/>
              </w:rPr>
            </w:pPr>
          </w:p>
        </w:tc>
        <w:tc>
          <w:tcPr>
            <w:tcW w:w="3358" w:type="dxa"/>
            <w:gridSpan w:val="4"/>
            <w:noWrap w:val="0"/>
            <w:vAlign w:val="top"/>
          </w:tcPr>
          <w:p>
            <w:pP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top"/>
          </w:tcPr>
          <w:p>
            <w:pPr>
              <w:rPr>
                <w:rFonts w:hint="eastAsia"/>
                <w:szCs w:val="21"/>
              </w:rPr>
            </w:pPr>
          </w:p>
        </w:tc>
        <w:tc>
          <w:tcPr>
            <w:tcW w:w="1232" w:type="dxa"/>
            <w:vMerge w:val="restart"/>
            <w:noWrap w:val="0"/>
            <w:vAlign w:val="top"/>
          </w:tcPr>
          <w:p>
            <w:pPr>
              <w:rPr>
                <w:rFonts w:hint="eastAsia"/>
                <w:szCs w:val="21"/>
              </w:rPr>
            </w:pPr>
            <w:r>
              <w:rPr>
                <w:rFonts w:hint="eastAsia"/>
                <w:szCs w:val="21"/>
              </w:rPr>
              <w:t>替代源排放情况</w:t>
            </w:r>
          </w:p>
        </w:tc>
        <w:tc>
          <w:tcPr>
            <w:tcW w:w="2114" w:type="dxa"/>
            <w:noWrap w:val="0"/>
            <w:vAlign w:val="top"/>
          </w:tcPr>
          <w:p>
            <w:pPr>
              <w:rPr>
                <w:rFonts w:hint="eastAsia"/>
                <w:szCs w:val="21"/>
              </w:rPr>
            </w:pPr>
            <w:r>
              <w:rPr>
                <w:rFonts w:hint="eastAsia"/>
                <w:szCs w:val="21"/>
              </w:rPr>
              <w:t>污染源名称</w:t>
            </w:r>
          </w:p>
        </w:tc>
        <w:tc>
          <w:tcPr>
            <w:tcW w:w="2114" w:type="dxa"/>
            <w:noWrap w:val="0"/>
            <w:vAlign w:val="top"/>
          </w:tcPr>
          <w:p>
            <w:pPr>
              <w:rPr>
                <w:rFonts w:hint="eastAsia"/>
                <w:szCs w:val="21"/>
              </w:rPr>
            </w:pPr>
            <w:r>
              <w:rPr>
                <w:rFonts w:hint="eastAsia"/>
                <w:szCs w:val="21"/>
              </w:rPr>
              <w:t>排污许可证编号</w:t>
            </w:r>
          </w:p>
        </w:tc>
        <w:tc>
          <w:tcPr>
            <w:tcW w:w="1421" w:type="dxa"/>
            <w:noWrap w:val="0"/>
            <w:vAlign w:val="top"/>
          </w:tcPr>
          <w:p>
            <w:pPr>
              <w:rPr>
                <w:rFonts w:hint="eastAsia"/>
                <w:szCs w:val="21"/>
              </w:rPr>
            </w:pPr>
            <w:r>
              <w:rPr>
                <w:rFonts w:hint="eastAsia"/>
                <w:szCs w:val="21"/>
              </w:rPr>
              <w:t>污染物名称</w:t>
            </w:r>
          </w:p>
        </w:tc>
        <w:tc>
          <w:tcPr>
            <w:tcW w:w="1937" w:type="dxa"/>
            <w:gridSpan w:val="3"/>
            <w:noWrap w:val="0"/>
            <w:vAlign w:val="top"/>
          </w:tcPr>
          <w:p>
            <w:pPr>
              <w:rPr>
                <w:rFonts w:hint="eastAsia"/>
                <w:szCs w:val="21"/>
              </w:rPr>
            </w:pPr>
            <w:r>
              <w:rPr>
                <w:rFonts w:hint="eastAsia"/>
                <w:szCs w:val="21"/>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425" w:type="dxa"/>
            <w:vMerge w:val="continue"/>
            <w:noWrap w:val="0"/>
            <w:vAlign w:val="top"/>
          </w:tcPr>
          <w:p>
            <w:pPr>
              <w:rPr>
                <w:szCs w:val="21"/>
              </w:rPr>
            </w:pPr>
          </w:p>
        </w:tc>
        <w:tc>
          <w:tcPr>
            <w:tcW w:w="1232" w:type="dxa"/>
            <w:vMerge w:val="continue"/>
            <w:noWrap w:val="0"/>
            <w:vAlign w:val="top"/>
          </w:tcPr>
          <w:p>
            <w:pPr>
              <w:rPr>
                <w:szCs w:val="21"/>
              </w:rPr>
            </w:pPr>
          </w:p>
        </w:tc>
        <w:tc>
          <w:tcPr>
            <w:tcW w:w="2114" w:type="dxa"/>
            <w:noWrap w:val="0"/>
            <w:vAlign w:val="top"/>
          </w:tcPr>
          <w:p>
            <w:pPr>
              <w:rPr>
                <w:rFonts w:hint="eastAsia"/>
                <w:szCs w:val="21"/>
              </w:rPr>
            </w:pPr>
          </w:p>
        </w:tc>
        <w:tc>
          <w:tcPr>
            <w:tcW w:w="2114" w:type="dxa"/>
            <w:noWrap w:val="0"/>
            <w:vAlign w:val="top"/>
          </w:tcPr>
          <w:p>
            <w:pPr>
              <w:rPr>
                <w:rFonts w:hint="eastAsia"/>
                <w:szCs w:val="21"/>
              </w:rPr>
            </w:pPr>
          </w:p>
        </w:tc>
        <w:tc>
          <w:tcPr>
            <w:tcW w:w="1421" w:type="dxa"/>
            <w:noWrap w:val="0"/>
            <w:vAlign w:val="top"/>
          </w:tcPr>
          <w:p>
            <w:pPr>
              <w:rPr>
                <w:rFonts w:hint="eastAsia"/>
                <w:szCs w:val="21"/>
              </w:rPr>
            </w:pPr>
          </w:p>
        </w:tc>
        <w:tc>
          <w:tcPr>
            <w:tcW w:w="1937" w:type="dxa"/>
            <w:gridSpan w:val="3"/>
            <w:noWrap w:val="0"/>
            <w:vAlign w:val="top"/>
          </w:tcPr>
          <w:p>
            <w:pP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top"/>
          </w:tcPr>
          <w:p>
            <w:pPr>
              <w:rPr>
                <w:rFonts w:hint="eastAsia"/>
                <w:szCs w:val="21"/>
              </w:rPr>
            </w:pPr>
          </w:p>
        </w:tc>
        <w:tc>
          <w:tcPr>
            <w:tcW w:w="1232" w:type="dxa"/>
            <w:noWrap w:val="0"/>
            <w:vAlign w:val="top"/>
          </w:tcPr>
          <w:p>
            <w:pPr>
              <w:rPr>
                <w:rFonts w:hint="eastAsia"/>
                <w:szCs w:val="21"/>
              </w:rPr>
            </w:pPr>
            <w:r>
              <w:rPr>
                <w:rFonts w:hint="eastAsia"/>
                <w:szCs w:val="21"/>
              </w:rPr>
              <w:t>生态流量确定</w:t>
            </w:r>
          </w:p>
        </w:tc>
        <w:tc>
          <w:tcPr>
            <w:tcW w:w="7586" w:type="dxa"/>
            <w:gridSpan w:val="6"/>
            <w:noWrap w:val="0"/>
            <w:vAlign w:val="top"/>
          </w:tcPr>
          <w:p>
            <w:pPr>
              <w:rPr>
                <w:rFonts w:hint="eastAsia"/>
                <w:szCs w:val="21"/>
              </w:rPr>
            </w:pPr>
            <w:r>
              <w:rPr>
                <w:rFonts w:hint="eastAsia"/>
                <w:szCs w:val="21"/>
              </w:rPr>
              <w:t>生态流量：一般水期（）m</w:t>
            </w:r>
            <w:r>
              <w:rPr>
                <w:rFonts w:hint="eastAsia"/>
                <w:szCs w:val="21"/>
                <w:vertAlign w:val="superscript"/>
              </w:rPr>
              <w:t>3</w:t>
            </w:r>
            <w:r>
              <w:rPr>
                <w:rFonts w:hint="eastAsia"/>
                <w:szCs w:val="21"/>
              </w:rPr>
              <w:t>/s；鱼类繁殖期（）m</w:t>
            </w:r>
            <w:r>
              <w:rPr>
                <w:rFonts w:hint="eastAsia"/>
                <w:szCs w:val="21"/>
                <w:vertAlign w:val="superscript"/>
              </w:rPr>
              <w:t>3</w:t>
            </w:r>
            <w:r>
              <w:rPr>
                <w:rFonts w:hint="eastAsia"/>
                <w:szCs w:val="21"/>
              </w:rPr>
              <w:t>/s；其他（）m</w:t>
            </w:r>
            <w:r>
              <w:rPr>
                <w:rFonts w:hint="eastAsia"/>
                <w:szCs w:val="21"/>
                <w:vertAlign w:val="superscript"/>
              </w:rPr>
              <w:t>3</w:t>
            </w:r>
            <w:r>
              <w:rPr>
                <w:rFonts w:hint="eastAsia"/>
                <w:szCs w:val="21"/>
              </w:rPr>
              <w:t>/s；</w:t>
            </w:r>
          </w:p>
          <w:p>
            <w:pPr>
              <w:rPr>
                <w:rFonts w:hint="eastAsia"/>
                <w:szCs w:val="21"/>
              </w:rPr>
            </w:pPr>
            <w:r>
              <w:rPr>
                <w:rFonts w:hint="eastAsia"/>
                <w:szCs w:val="21"/>
              </w:rPr>
              <w:t>生态水位：一般水期（）m；鱼类繁殖期（）m；其他（）m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restart"/>
            <w:noWrap w:val="0"/>
            <w:vAlign w:val="center"/>
          </w:tcPr>
          <w:p>
            <w:pPr>
              <w:rPr>
                <w:rFonts w:hint="eastAsia"/>
                <w:szCs w:val="21"/>
              </w:rPr>
            </w:pPr>
            <w:r>
              <w:rPr>
                <w:rFonts w:hint="eastAsia"/>
                <w:szCs w:val="21"/>
              </w:rPr>
              <w:t>防治措施</w:t>
            </w:r>
          </w:p>
        </w:tc>
        <w:tc>
          <w:tcPr>
            <w:tcW w:w="1232" w:type="dxa"/>
            <w:noWrap w:val="0"/>
            <w:vAlign w:val="center"/>
          </w:tcPr>
          <w:p>
            <w:pPr>
              <w:rPr>
                <w:rFonts w:hint="eastAsia"/>
                <w:szCs w:val="21"/>
              </w:rPr>
            </w:pPr>
            <w:r>
              <w:rPr>
                <w:rFonts w:hint="eastAsia"/>
                <w:szCs w:val="21"/>
              </w:rPr>
              <w:t>环保措施</w:t>
            </w:r>
          </w:p>
        </w:tc>
        <w:tc>
          <w:tcPr>
            <w:tcW w:w="7586" w:type="dxa"/>
            <w:gridSpan w:val="6"/>
            <w:noWrap w:val="0"/>
            <w:vAlign w:val="top"/>
          </w:tcPr>
          <w:p>
            <w:pPr>
              <w:rPr>
                <w:rFonts w:hint="eastAsia"/>
                <w:szCs w:val="21"/>
              </w:rPr>
            </w:pPr>
            <w:r>
              <w:rPr>
                <w:rFonts w:hint="eastAsia"/>
                <w:szCs w:val="21"/>
              </w:rPr>
              <w:t>污水处理设施</w:t>
            </w:r>
            <w:r>
              <w:rPr>
                <w:rFonts w:hint="eastAsia"/>
                <w:szCs w:val="21"/>
              </w:rPr>
              <w:sym w:font="Wingdings" w:char="00FE"/>
            </w:r>
            <w:r>
              <w:rPr>
                <w:rFonts w:hint="eastAsia"/>
                <w:szCs w:val="21"/>
              </w:rPr>
              <w:t>；水文减缓设施</w:t>
            </w:r>
            <w:r>
              <w:rPr>
                <w:rFonts w:hint="eastAsia"/>
                <w:szCs w:val="21"/>
              </w:rPr>
              <w:sym w:font="Wingdings" w:char="00A8"/>
            </w:r>
            <w:r>
              <w:rPr>
                <w:rFonts w:hint="eastAsia"/>
                <w:szCs w:val="21"/>
              </w:rPr>
              <w:t>；生态流量保障措施</w:t>
            </w:r>
            <w:r>
              <w:rPr>
                <w:rFonts w:hint="eastAsia"/>
                <w:szCs w:val="21"/>
              </w:rPr>
              <w:sym w:font="Wingdings" w:char="00A8"/>
            </w:r>
            <w:r>
              <w:rPr>
                <w:rFonts w:hint="eastAsia"/>
                <w:szCs w:val="21"/>
              </w:rPr>
              <w:t>；区域消减</w:t>
            </w:r>
            <w:r>
              <w:rPr>
                <w:rFonts w:hint="eastAsia"/>
                <w:szCs w:val="21"/>
              </w:rPr>
              <w:sym w:font="Wingdings" w:char="00A8"/>
            </w:r>
            <w:r>
              <w:rPr>
                <w:rFonts w:hint="eastAsia"/>
                <w:szCs w:val="21"/>
              </w:rPr>
              <w:t>；依托其他工程措施</w:t>
            </w:r>
            <w:r>
              <w:rPr>
                <w:rFonts w:hint="eastAsia"/>
                <w:szCs w:val="21"/>
              </w:rPr>
              <w:sym w:font="Wingdings" w:char="00A8"/>
            </w:r>
            <w:r>
              <w:rPr>
                <w:rFonts w:hint="eastAsia"/>
                <w:szCs w:val="21"/>
              </w:rPr>
              <w:t>；其他</w:t>
            </w: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vMerge w:val="restart"/>
            <w:noWrap w:val="0"/>
            <w:vAlign w:val="center"/>
          </w:tcPr>
          <w:p>
            <w:pPr>
              <w:rPr>
                <w:rFonts w:hint="eastAsia"/>
                <w:szCs w:val="21"/>
              </w:rPr>
            </w:pPr>
            <w:r>
              <w:rPr>
                <w:rFonts w:hint="eastAsia"/>
                <w:szCs w:val="21"/>
              </w:rPr>
              <w:t>监测计划</w:t>
            </w:r>
          </w:p>
        </w:tc>
        <w:tc>
          <w:tcPr>
            <w:tcW w:w="2114" w:type="dxa"/>
            <w:noWrap w:val="0"/>
            <w:vAlign w:val="top"/>
          </w:tcPr>
          <w:p>
            <w:pPr>
              <w:jc w:val="center"/>
              <w:rPr>
                <w:rFonts w:hint="eastAsia"/>
                <w:szCs w:val="21"/>
              </w:rPr>
            </w:pPr>
          </w:p>
        </w:tc>
        <w:tc>
          <w:tcPr>
            <w:tcW w:w="3535" w:type="dxa"/>
            <w:gridSpan w:val="2"/>
            <w:noWrap w:val="0"/>
            <w:vAlign w:val="top"/>
          </w:tcPr>
          <w:p>
            <w:pPr>
              <w:jc w:val="center"/>
              <w:rPr>
                <w:rFonts w:hint="eastAsia"/>
                <w:szCs w:val="21"/>
              </w:rPr>
            </w:pPr>
            <w:r>
              <w:rPr>
                <w:rFonts w:hint="eastAsia"/>
                <w:szCs w:val="21"/>
              </w:rPr>
              <w:t>环境质量</w:t>
            </w:r>
          </w:p>
        </w:tc>
        <w:tc>
          <w:tcPr>
            <w:tcW w:w="1937" w:type="dxa"/>
            <w:gridSpan w:val="3"/>
            <w:noWrap w:val="0"/>
            <w:vAlign w:val="top"/>
          </w:tcPr>
          <w:p>
            <w:pPr>
              <w:jc w:val="center"/>
              <w:rPr>
                <w:rFonts w:hint="eastAsia"/>
                <w:szCs w:val="21"/>
              </w:rPr>
            </w:pPr>
            <w:r>
              <w:rPr>
                <w:rFonts w:hint="eastAsia"/>
                <w:szCs w:val="21"/>
              </w:rPr>
              <w:t>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vMerge w:val="continue"/>
            <w:noWrap w:val="0"/>
            <w:vAlign w:val="center"/>
          </w:tcPr>
          <w:p>
            <w:pPr>
              <w:rPr>
                <w:rFonts w:hint="eastAsia"/>
                <w:szCs w:val="21"/>
              </w:rPr>
            </w:pPr>
          </w:p>
        </w:tc>
        <w:tc>
          <w:tcPr>
            <w:tcW w:w="2114" w:type="dxa"/>
            <w:noWrap w:val="0"/>
            <w:vAlign w:val="center"/>
          </w:tcPr>
          <w:p>
            <w:pPr>
              <w:jc w:val="center"/>
              <w:rPr>
                <w:rFonts w:hint="eastAsia"/>
                <w:szCs w:val="21"/>
              </w:rPr>
            </w:pPr>
            <w:r>
              <w:rPr>
                <w:rFonts w:hint="eastAsia"/>
                <w:szCs w:val="21"/>
              </w:rPr>
              <w:t>监测方式</w:t>
            </w:r>
          </w:p>
        </w:tc>
        <w:tc>
          <w:tcPr>
            <w:tcW w:w="3535" w:type="dxa"/>
            <w:gridSpan w:val="2"/>
            <w:noWrap w:val="0"/>
            <w:vAlign w:val="center"/>
          </w:tcPr>
          <w:p>
            <w:pPr>
              <w:jc w:val="center"/>
              <w:rPr>
                <w:rFonts w:hint="eastAsia"/>
                <w:szCs w:val="21"/>
              </w:rPr>
            </w:pPr>
            <w:r>
              <w:rPr>
                <w:rFonts w:hint="eastAsia"/>
                <w:szCs w:val="21"/>
              </w:rPr>
              <w:t>手动</w:t>
            </w:r>
            <w:r>
              <w:rPr>
                <w:rFonts w:hint="eastAsia"/>
                <w:szCs w:val="21"/>
              </w:rPr>
              <w:sym w:font="Wingdings" w:char="00A8"/>
            </w:r>
            <w:r>
              <w:rPr>
                <w:rFonts w:hint="eastAsia"/>
                <w:szCs w:val="21"/>
              </w:rPr>
              <w:t>；自动</w:t>
            </w:r>
            <w:r>
              <w:rPr>
                <w:rFonts w:hint="eastAsia"/>
                <w:szCs w:val="21"/>
              </w:rPr>
              <w:sym w:font="Wingdings" w:char="00A8"/>
            </w:r>
            <w:r>
              <w:rPr>
                <w:rFonts w:hint="eastAsia"/>
                <w:szCs w:val="21"/>
              </w:rPr>
              <w:t>；无监测</w:t>
            </w:r>
            <w:r>
              <w:rPr>
                <w:rFonts w:hint="eastAsia"/>
                <w:szCs w:val="21"/>
              </w:rPr>
              <w:sym w:font="Wingdings" w:char="00FE"/>
            </w:r>
          </w:p>
        </w:tc>
        <w:tc>
          <w:tcPr>
            <w:tcW w:w="1937" w:type="dxa"/>
            <w:gridSpan w:val="3"/>
            <w:noWrap w:val="0"/>
            <w:vAlign w:val="center"/>
          </w:tcPr>
          <w:p>
            <w:pPr>
              <w:jc w:val="center"/>
              <w:rPr>
                <w:rFonts w:hint="eastAsia"/>
                <w:szCs w:val="21"/>
              </w:rPr>
            </w:pPr>
            <w:r>
              <w:rPr>
                <w:rFonts w:hint="eastAsia"/>
                <w:szCs w:val="21"/>
              </w:rPr>
              <w:t>手动</w:t>
            </w:r>
            <w:r>
              <w:rPr>
                <w:rFonts w:hint="eastAsia"/>
                <w:szCs w:val="21"/>
              </w:rPr>
              <w:sym w:font="Wingdings" w:char="00A8"/>
            </w:r>
            <w:r>
              <w:rPr>
                <w:rFonts w:hint="eastAsia"/>
                <w:szCs w:val="21"/>
              </w:rPr>
              <w:t>；自动</w:t>
            </w:r>
            <w:r>
              <w:rPr>
                <w:rFonts w:hint="eastAsia"/>
                <w:szCs w:val="21"/>
              </w:rPr>
              <w:sym w:font="Wingdings" w:char="00A8"/>
            </w:r>
            <w:r>
              <w:rPr>
                <w:rFonts w:hint="eastAsia"/>
                <w:szCs w:val="21"/>
              </w:rPr>
              <w:t>；无监测</w:t>
            </w:r>
            <w:r>
              <w:rPr>
                <w:rFonts w:hint="eastAsia"/>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vMerge w:val="continue"/>
            <w:noWrap w:val="0"/>
            <w:vAlign w:val="center"/>
          </w:tcPr>
          <w:p>
            <w:pPr>
              <w:rPr>
                <w:rFonts w:hint="eastAsia"/>
                <w:szCs w:val="21"/>
              </w:rPr>
            </w:pPr>
          </w:p>
        </w:tc>
        <w:tc>
          <w:tcPr>
            <w:tcW w:w="2114" w:type="dxa"/>
            <w:noWrap w:val="0"/>
            <w:vAlign w:val="center"/>
          </w:tcPr>
          <w:p>
            <w:pPr>
              <w:jc w:val="center"/>
              <w:rPr>
                <w:rFonts w:hint="eastAsia"/>
                <w:szCs w:val="21"/>
              </w:rPr>
            </w:pPr>
            <w:r>
              <w:rPr>
                <w:rFonts w:hint="eastAsia"/>
                <w:szCs w:val="21"/>
              </w:rPr>
              <w:t>监测点位</w:t>
            </w:r>
          </w:p>
        </w:tc>
        <w:tc>
          <w:tcPr>
            <w:tcW w:w="3535" w:type="dxa"/>
            <w:gridSpan w:val="2"/>
            <w:noWrap w:val="0"/>
            <w:vAlign w:val="center"/>
          </w:tcPr>
          <w:p>
            <w:pPr>
              <w:jc w:val="center"/>
              <w:rPr>
                <w:rFonts w:hint="eastAsia"/>
                <w:szCs w:val="21"/>
              </w:rPr>
            </w:pPr>
            <w:r>
              <w:rPr>
                <w:rFonts w:hint="eastAsia"/>
                <w:szCs w:val="21"/>
              </w:rPr>
              <w:t>（）</w:t>
            </w:r>
          </w:p>
        </w:tc>
        <w:tc>
          <w:tcPr>
            <w:tcW w:w="1937" w:type="dxa"/>
            <w:gridSpan w:val="3"/>
            <w:noWrap w:val="0"/>
            <w:vAlign w:val="center"/>
          </w:tcPr>
          <w:p>
            <w:pPr>
              <w:jc w:val="center"/>
              <w:rPr>
                <w:rFonts w:hint="eastAsia"/>
                <w:szCs w:val="21"/>
              </w:rPr>
            </w:pP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vMerge w:val="continue"/>
            <w:noWrap w:val="0"/>
            <w:vAlign w:val="center"/>
          </w:tcPr>
          <w:p>
            <w:pPr>
              <w:rPr>
                <w:rFonts w:hint="eastAsia"/>
                <w:szCs w:val="21"/>
              </w:rPr>
            </w:pPr>
          </w:p>
        </w:tc>
        <w:tc>
          <w:tcPr>
            <w:tcW w:w="2114" w:type="dxa"/>
            <w:noWrap w:val="0"/>
            <w:vAlign w:val="center"/>
          </w:tcPr>
          <w:p>
            <w:pPr>
              <w:jc w:val="center"/>
              <w:rPr>
                <w:rFonts w:hint="eastAsia"/>
                <w:szCs w:val="21"/>
              </w:rPr>
            </w:pPr>
            <w:r>
              <w:rPr>
                <w:rFonts w:hint="eastAsia"/>
                <w:szCs w:val="21"/>
              </w:rPr>
              <w:t>监测因子</w:t>
            </w:r>
          </w:p>
        </w:tc>
        <w:tc>
          <w:tcPr>
            <w:tcW w:w="3535" w:type="dxa"/>
            <w:gridSpan w:val="2"/>
            <w:noWrap w:val="0"/>
            <w:vAlign w:val="center"/>
          </w:tcPr>
          <w:p>
            <w:pPr>
              <w:jc w:val="center"/>
              <w:rPr>
                <w:rFonts w:hint="eastAsia"/>
                <w:szCs w:val="21"/>
              </w:rPr>
            </w:pPr>
            <w:r>
              <w:rPr>
                <w:rFonts w:hint="eastAsia"/>
                <w:szCs w:val="21"/>
              </w:rPr>
              <w:t>（）</w:t>
            </w:r>
          </w:p>
        </w:tc>
        <w:tc>
          <w:tcPr>
            <w:tcW w:w="1937" w:type="dxa"/>
            <w:gridSpan w:val="3"/>
            <w:noWrap w:val="0"/>
            <w:vAlign w:val="center"/>
          </w:tcPr>
          <w:p>
            <w:pPr>
              <w:jc w:val="center"/>
              <w:rPr>
                <w:rFonts w:hint="eastAsia"/>
                <w:szCs w:val="21"/>
              </w:rPr>
            </w:pP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425" w:type="dxa"/>
            <w:vMerge w:val="continue"/>
            <w:noWrap w:val="0"/>
            <w:vAlign w:val="center"/>
          </w:tcPr>
          <w:p>
            <w:pPr>
              <w:rPr>
                <w:rFonts w:hint="eastAsia"/>
                <w:szCs w:val="21"/>
              </w:rPr>
            </w:pPr>
          </w:p>
        </w:tc>
        <w:tc>
          <w:tcPr>
            <w:tcW w:w="1232" w:type="dxa"/>
            <w:noWrap w:val="0"/>
            <w:vAlign w:val="center"/>
          </w:tcPr>
          <w:p>
            <w:pPr>
              <w:rPr>
                <w:rFonts w:hint="eastAsia"/>
                <w:szCs w:val="21"/>
              </w:rPr>
            </w:pPr>
            <w:r>
              <w:rPr>
                <w:rFonts w:hint="eastAsia"/>
                <w:szCs w:val="21"/>
              </w:rPr>
              <w:t>污染物排放清单</w:t>
            </w:r>
          </w:p>
        </w:tc>
        <w:tc>
          <w:tcPr>
            <w:tcW w:w="7586" w:type="dxa"/>
            <w:gridSpan w:val="6"/>
            <w:noWrap w:val="0"/>
            <w:vAlign w:val="center"/>
          </w:tcPr>
          <w:p>
            <w:pPr>
              <w:rPr>
                <w:rFonts w:hint="eastAsia"/>
                <w:szCs w:val="21"/>
              </w:rPr>
            </w:pPr>
            <w:r>
              <w:rPr>
                <w:rFonts w:hint="eastAsia"/>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57" w:type="dxa"/>
            <w:gridSpan w:val="2"/>
            <w:noWrap w:val="0"/>
            <w:vAlign w:val="top"/>
          </w:tcPr>
          <w:p>
            <w:pPr>
              <w:rPr>
                <w:rFonts w:hint="eastAsia"/>
                <w:szCs w:val="21"/>
              </w:rPr>
            </w:pPr>
            <w:r>
              <w:rPr>
                <w:rFonts w:hint="eastAsia"/>
                <w:szCs w:val="21"/>
              </w:rPr>
              <w:t>评价结论</w:t>
            </w:r>
          </w:p>
        </w:tc>
        <w:tc>
          <w:tcPr>
            <w:tcW w:w="7586" w:type="dxa"/>
            <w:gridSpan w:val="6"/>
            <w:noWrap w:val="0"/>
            <w:vAlign w:val="top"/>
          </w:tcPr>
          <w:p>
            <w:pPr>
              <w:rPr>
                <w:rFonts w:hint="eastAsia"/>
                <w:szCs w:val="21"/>
              </w:rPr>
            </w:pPr>
            <w:r>
              <w:rPr>
                <w:rFonts w:hint="eastAsia"/>
                <w:szCs w:val="21"/>
              </w:rPr>
              <w:t>可以接受</w:t>
            </w:r>
            <w:r>
              <w:rPr>
                <w:rFonts w:hint="eastAsia"/>
                <w:szCs w:val="21"/>
              </w:rPr>
              <w:sym w:font="Wingdings" w:char="00FE"/>
            </w:r>
            <w:r>
              <w:rPr>
                <w:rFonts w:hint="eastAsia"/>
                <w:szCs w:val="21"/>
              </w:rPr>
              <w:t>；不可以接受</w:t>
            </w:r>
            <w:r>
              <w:rPr>
                <w:rFonts w:hint="eastAsia"/>
                <w:szCs w:val="21"/>
              </w:rPr>
              <w:sym w:font="Wingdings" w:char="00A8"/>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eastAsia" w:asciiTheme="minorEastAsia" w:hAnsiTheme="minorEastAsia" w:cstheme="minorEastAsia"/>
          <w:sz w:val="24"/>
          <w:szCs w:val="24"/>
          <w:lang w:eastAsia="zh-CN"/>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pPr>
    </w:p>
    <w:p>
      <w:pPr>
        <w:rPr>
          <w:rFonts w:ascii="Times New Roman" w:hAnsi="Times New Roman" w:eastAsia="宋体" w:cs="Times New Roman"/>
          <w:szCs w:val="21"/>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rPr>
          <w:rFonts w:ascii="Times New Roman" w:hAnsi="Times New Roman" w:eastAsia="宋体" w:cs="Times New Roman"/>
          <w:szCs w:val="21"/>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rPr>
          <w:rFonts w:ascii="Times New Roman" w:hAnsi="Times New Roman" w:eastAsia="宋体" w:cs="Times New Roman"/>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pict>
          <v:shape id="_x0000_s1045" o:spid="_x0000_s1045" o:spt="75" type="#_x0000_t75" style="position:absolute;left:0pt;margin-left:14.55pt;margin-top:16.25pt;height:431.9pt;width:670.5pt;z-index:-251604992;mso-width-relative:page;mso-height-relative:page;" o:ole="t" filled="f" o:preferrelative="t" stroked="f" coordsize="21600,21600">
            <v:path/>
            <v:fill on="f" focussize="0,0"/>
            <v:stroke on="f"/>
            <v:imagedata r:id="rId33" o:title=""/>
            <o:lock v:ext="edit" aspectratio="t"/>
          </v:shape>
          <o:OLEObject Type="Embed" ProgID="Visio.Drawing.15" ShapeID="_x0000_s1045" DrawAspect="Content" ObjectID="_1468075738" r:id="rId32">
            <o:LockedField>false</o:LockedField>
          </o:OLEObject>
        </w:pict>
      </w:r>
      <w:r>
        <w:rPr>
          <w:bCs/>
          <w:snapToGrid w:val="0"/>
          <w:kern w:val="0"/>
          <w:sz w:val="24"/>
        </w:rPr>
        <w:t>附图1 地理位置图</w:t>
      </w:r>
    </w:p>
    <w:p>
      <w:pPr>
        <w:rPr>
          <w:rFonts w:ascii="Times New Roman" w:hAnsi="Times New Roman" w:eastAsia="宋体" w:cs="Times New Roman"/>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snapToGrid w:val="0"/>
          <w:kern w:val="0"/>
          <w:sz w:val="24"/>
          <w:szCs w:val="24"/>
        </w:rPr>
        <w:t>附图2</w:t>
      </w:r>
      <w:r>
        <w:rPr>
          <w:rFonts w:ascii="Times New Roman" w:hAnsi="Times New Roman" w:eastAsia="宋体" w:cs="Times New Roman"/>
          <w:bCs/>
          <w:snapToGrid w:val="0"/>
          <w:kern w:val="0"/>
          <w:sz w:val="24"/>
          <w:szCs w:val="24"/>
        </w:rPr>
        <w:t xml:space="preserve"> </w:t>
      </w:r>
      <w:r>
        <w:rPr>
          <w:rFonts w:hint="eastAsia" w:ascii="Times New Roman" w:hAnsi="Times New Roman" w:eastAsia="宋体" w:cs="Times New Roman"/>
          <w:bCs/>
          <w:snapToGrid w:val="0"/>
          <w:kern w:val="0"/>
          <w:sz w:val="24"/>
          <w:szCs w:val="24"/>
        </w:rPr>
        <w:t>四邻关系图</w:t>
      </w:r>
      <w:r>
        <w:pict>
          <v:shape id="_x0000_s1041" o:spid="_x0000_s1041" o:spt="75" type="#_x0000_t75" style="position:absolute;left:0pt;margin-left:22.6pt;margin-top:18.1pt;height:415.05pt;width:654.2pt;z-index:-251630592;mso-width-relative:page;mso-height-relative:page;" o:ole="t" filled="f" o:preferrelative="t" stroked="f" coordsize="21600,21600">
            <v:path/>
            <v:fill on="f" focussize="0,0"/>
            <v:stroke on="f"/>
            <v:imagedata r:id="rId35" o:title=""/>
            <o:lock v:ext="edit" aspectratio="t"/>
          </v:shape>
          <o:OLEObject Type="Embed" ProgID="Visio.Drawing.15" ShapeID="_x0000_s1041" DrawAspect="Content" ObjectID="_1468075739" r:id="rId34">
            <o:LockedField>false</o:LockedField>
          </o:OLEObject>
        </w:pict>
      </w:r>
    </w:p>
    <w:p>
      <w:pPr>
        <w:rPr>
          <w:rFonts w:ascii="Times New Roman" w:hAnsi="Times New Roman" w:eastAsia="宋体" w:cs="Times New Roman"/>
          <w:bCs/>
          <w:snapToGrid w:val="0"/>
          <w:kern w:val="0"/>
          <w:sz w:val="24"/>
          <w:szCs w:val="24"/>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snapToGrid w:val="0"/>
          <w:kern w:val="0"/>
          <w:sz w:val="24"/>
          <w:szCs w:val="24"/>
        </w:rPr>
        <w:t>附图</w:t>
      </w:r>
      <w:r>
        <w:pict>
          <v:shape id="_x0000_s1063" o:spid="_x0000_s1063" o:spt="75" type="#_x0000_t75" style="position:absolute;left:0pt;margin-left:11.55pt;margin-top:31.75pt;height:425.2pt;width:677.9pt;z-index:-251599872;mso-width-relative:page;mso-height-relative:page;" o:ole="t" filled="f" o:preferrelative="t" stroked="f" coordsize="21600,21600">
            <v:path/>
            <v:fill on="f" focussize="0,0"/>
            <v:stroke on="f"/>
            <v:imagedata r:id="rId37" o:title=""/>
            <o:lock v:ext="edit" aspectratio="t"/>
          </v:shape>
          <o:OLEObject Type="Embed" ProgID="Visio.Drawing.15" ShapeID="_x0000_s1063" DrawAspect="Content" ObjectID="_1468075740" r:id="rId36">
            <o:LockedField>false</o:LockedField>
          </o:OLEObject>
        </w:pict>
      </w:r>
      <w:r>
        <w:rPr>
          <w:rFonts w:ascii="Times New Roman" w:hAnsi="Times New Roman" w:eastAsia="宋体" w:cs="Times New Roman"/>
          <w:bCs/>
          <w:snapToGrid w:val="0"/>
          <w:kern w:val="0"/>
          <w:sz w:val="24"/>
          <w:szCs w:val="24"/>
        </w:rPr>
        <w:t>3  环境保护目标图</w:t>
      </w:r>
    </w:p>
    <w:p>
      <w:pPr>
        <w:rPr>
          <w:rFonts w:ascii="Times New Roman" w:hAnsi="Times New Roman" w:eastAsia="宋体" w:cs="Times New Roman"/>
          <w:bCs/>
          <w:snapToGrid w:val="0"/>
          <w:kern w:val="0"/>
          <w:sz w:val="24"/>
          <w:szCs w:val="24"/>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pict>
          <v:shape id="_x0000_s1042" o:spid="_x0000_s1042" o:spt="75" type="#_x0000_t75" style="position:absolute;left:0pt;margin-left:-20.65pt;margin-top:53.8pt;height:324.3pt;width:741.45pt;z-index:-251628544;mso-width-relative:page;mso-height-relative:page;" o:ole="t" filled="f" o:preferrelative="t" stroked="f" coordsize="21600,21600">
            <v:path/>
            <v:fill on="f" focussize="0,0"/>
            <v:stroke on="f"/>
            <v:imagedata r:id="rId39" o:title=""/>
            <o:lock v:ext="edit" aspectratio="t"/>
          </v:shape>
          <o:OLEObject Type="Embed" ProgID="Visio.Drawing.15" ShapeID="_x0000_s1042" DrawAspect="Content" ObjectID="_1468075741" r:id="rId38">
            <o:LockedField>false</o:LockedField>
          </o:OLEObject>
        </w:pict>
      </w:r>
      <w:r>
        <w:rPr>
          <w:rFonts w:hint="eastAsia" w:ascii="Times New Roman" w:hAnsi="Times New Roman" w:eastAsia="宋体" w:cs="Times New Roman"/>
          <w:bCs/>
          <w:snapToGrid w:val="0"/>
          <w:kern w:val="0"/>
          <w:sz w:val="24"/>
          <w:szCs w:val="24"/>
        </w:rPr>
        <w:t>附图</w:t>
      </w:r>
      <w:r>
        <w:rPr>
          <w:rFonts w:ascii="Times New Roman" w:hAnsi="Times New Roman" w:eastAsia="宋体" w:cs="Times New Roman"/>
          <w:bCs/>
          <w:snapToGrid w:val="0"/>
          <w:kern w:val="0"/>
          <w:sz w:val="24"/>
          <w:szCs w:val="24"/>
        </w:rPr>
        <w:t>4</w:t>
      </w:r>
      <w:r>
        <w:rPr>
          <w:rFonts w:hint="eastAsia" w:ascii="Times New Roman" w:hAnsi="Times New Roman" w:eastAsia="宋体" w:cs="Times New Roman"/>
          <w:bCs/>
          <w:snapToGrid w:val="0"/>
          <w:kern w:val="0"/>
          <w:sz w:val="24"/>
          <w:szCs w:val="24"/>
        </w:rPr>
        <w:t xml:space="preserve"> 厂区总平面布置图</w:t>
      </w: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pPr>
      <w:r>
        <w:rPr>
          <w:rFonts w:hint="eastAsia" w:ascii="Times New Roman" w:hAnsi="Times New Roman" w:eastAsia="宋体" w:cs="Times New Roman"/>
          <w:bCs/>
          <w:snapToGrid w:val="0"/>
          <w:kern w:val="0"/>
          <w:sz w:val="24"/>
          <w:szCs w:val="24"/>
        </w:rPr>
        <w:t>附图</w:t>
      </w:r>
      <w:r>
        <w:rPr>
          <w:rFonts w:ascii="Times New Roman" w:hAnsi="Times New Roman" w:eastAsia="宋体" w:cs="Times New Roman"/>
          <w:bCs/>
          <w:snapToGrid w:val="0"/>
          <w:kern w:val="0"/>
          <w:sz w:val="24"/>
          <w:szCs w:val="24"/>
        </w:rPr>
        <w:t>5</w:t>
      </w:r>
      <w:r>
        <w:rPr>
          <w:rFonts w:hint="eastAsia" w:ascii="Times New Roman" w:hAnsi="Times New Roman" w:eastAsia="宋体" w:cs="Times New Roman"/>
          <w:bCs/>
          <w:snapToGrid w:val="0"/>
          <w:kern w:val="0"/>
          <w:sz w:val="24"/>
          <w:szCs w:val="24"/>
        </w:rPr>
        <w:t xml:space="preserve"> 山西省生态环境管控单元图</w:t>
      </w:r>
    </w:p>
    <w:p>
      <w:pPr>
        <w:rPr>
          <w:rFonts w:ascii="Times New Roman" w:hAnsi="Times New Roman" w:cs="Times New Roma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mc:AlternateContent>
          <mc:Choice Requires="wps">
            <w:drawing>
              <wp:anchor distT="0" distB="0" distL="114300" distR="114300" simplePos="0" relativeHeight="251689984" behindDoc="0" locked="0" layoutInCell="1" allowOverlap="1">
                <wp:simplePos x="0" y="0"/>
                <wp:positionH relativeFrom="column">
                  <wp:posOffset>1672590</wp:posOffset>
                </wp:positionH>
                <wp:positionV relativeFrom="paragraph">
                  <wp:posOffset>3530600</wp:posOffset>
                </wp:positionV>
                <wp:extent cx="1316990" cy="344170"/>
                <wp:effectExtent l="209550" t="19050" r="0" b="18415"/>
                <wp:wrapNone/>
                <wp:docPr id="1" name="椭圆形标注 1"/>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31.7pt;margin-top:278pt;height:27.1pt;width:103.7pt;z-index:251689984;mso-width-relative:page;mso-height-relative:page;" filled="f" stroked="t" coordsize="21600,21600" o:gfxdata="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NH+SjZ&#10;AAAACwEAAA8AAAAAAAAAAQAgAAAAIgAAAGRycy9kb3ducmV2LnhtbFBLAQIUABQAAAAIAIdO4kCU&#10;MMQ1WAIAAG0EAAAOAAAAAAAAAAEAIAAAACgBAABkcnMvZTJvRG9jLnhtbFBLBQYAAAAABgAGAFkB&#10;AADyBQ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drawing>
          <wp:inline distT="0" distB="0" distL="0" distR="0">
            <wp:extent cx="5759450" cy="7862570"/>
            <wp:effectExtent l="19050" t="19050" r="12700" b="241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0"/>
                    <a:srcRect/>
                    <a:stretch>
                      <a:fillRect/>
                    </a:stretch>
                  </pic:blipFill>
                  <pic:spPr>
                    <a:xfrm>
                      <a:off x="0" y="0"/>
                      <a:ext cx="5759450" cy="7862681"/>
                    </a:xfrm>
                    <a:prstGeom prst="rect">
                      <a:avLst/>
                    </a:prstGeom>
                    <a:noFill/>
                    <a:ln w="6350" cmpd="sng">
                      <a:solidFill>
                        <a:srgbClr val="000000"/>
                      </a:solidFill>
                      <a:miter lim="800000"/>
                      <a:headEnd/>
                      <a:tailEnd/>
                    </a:ln>
                    <a:effectLst/>
                  </pic:spPr>
                </pic:pic>
              </a:graphicData>
            </a:graphic>
          </wp:inline>
        </w:drawing>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mc:AlternateContent>
          <mc:Choice Requires="wps">
            <w:drawing>
              <wp:anchor distT="0" distB="0" distL="114300" distR="114300" simplePos="0" relativeHeight="251692032" behindDoc="0" locked="0" layoutInCell="1" allowOverlap="1">
                <wp:simplePos x="0" y="0"/>
                <wp:positionH relativeFrom="column">
                  <wp:posOffset>2492375</wp:posOffset>
                </wp:positionH>
                <wp:positionV relativeFrom="paragraph">
                  <wp:posOffset>3608705</wp:posOffset>
                </wp:positionV>
                <wp:extent cx="1316990" cy="344170"/>
                <wp:effectExtent l="209550" t="19050" r="0" b="18415"/>
                <wp:wrapNone/>
                <wp:docPr id="2" name="椭圆形标注 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196.25pt;margin-top:284.15pt;height:27.1pt;width:103.7pt;z-index:251692032;mso-width-relative:page;mso-height-relative:page;" filled="f" stroked="t" coordsize="21600,21600" o:gfxdata="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l4hrZAAAA&#10;CwEAAA8AAAAAAAAAAQAgAAAAIgAAAGRycy9kb3ducmV2LnhtbFBLAQIUABQAAAAIAIdO4kBJeqn9&#10;VQIAAG0EAAAOAAAAAAAAAAEAIAAAACgBAABkcnMvZTJvRG9jLnhtbFBLBQYAAAAABgAGAFkBAADv&#10;BQ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ascii="Times New Roman" w:hAnsi="Times New Roman" w:eastAsia="宋体" w:cs="Times New Roman"/>
          <w:bCs/>
          <w:kern w:val="0"/>
          <w:sz w:val="24"/>
          <w:szCs w:val="24"/>
        </w:rPr>
        <w:drawing>
          <wp:anchor distT="0" distB="0" distL="114300" distR="114300" simplePos="0" relativeHeight="251691008" behindDoc="1" locked="0" layoutInCell="1" allowOverlap="1">
            <wp:simplePos x="0" y="0"/>
            <wp:positionH relativeFrom="column">
              <wp:posOffset>-340360</wp:posOffset>
            </wp:positionH>
            <wp:positionV relativeFrom="paragraph">
              <wp:posOffset>327660</wp:posOffset>
            </wp:positionV>
            <wp:extent cx="6217285" cy="7369810"/>
            <wp:effectExtent l="0" t="0" r="0" b="3175"/>
            <wp:wrapNone/>
            <wp:docPr id="4" name="图片 4" descr="C:\Users\Administrator\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12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6228938" cy="7383604"/>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 xml:space="preserve">附图6   </w:t>
      </w:r>
      <w:r>
        <w:rPr>
          <w:rFonts w:hint="eastAsia" w:ascii="Times New Roman" w:hAnsi="Times New Roman" w:eastAsia="宋体" w:cs="Times New Roman"/>
          <w:bCs/>
          <w:snapToGrid w:val="0"/>
          <w:kern w:val="0"/>
          <w:sz w:val="24"/>
          <w:szCs w:val="24"/>
        </w:rPr>
        <w:t>柳林县地表水系图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napToGrid w:val="0"/>
          <w:kern w:val="0"/>
          <w:sz w:val="24"/>
          <w:szCs w:val="24"/>
        </w:rPr>
        <w:t>附</w:t>
      </w:r>
      <w:r>
        <mc:AlternateContent>
          <mc:Choice Requires="wps">
            <w:drawing>
              <wp:anchor distT="0" distB="0" distL="114300" distR="114300" simplePos="0" relativeHeight="251694080" behindDoc="0" locked="0" layoutInCell="1" allowOverlap="1">
                <wp:simplePos x="0" y="0"/>
                <wp:positionH relativeFrom="column">
                  <wp:posOffset>490220</wp:posOffset>
                </wp:positionH>
                <wp:positionV relativeFrom="paragraph">
                  <wp:posOffset>5100320</wp:posOffset>
                </wp:positionV>
                <wp:extent cx="1316990" cy="344170"/>
                <wp:effectExtent l="209550" t="19050" r="0" b="18415"/>
                <wp:wrapNone/>
                <wp:docPr id="14" name="椭圆形标注 14"/>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38.6pt;margin-top:401.6pt;height:27.1pt;width:103.7pt;z-index:251694080;mso-width-relative:page;mso-height-relative:page;" filled="f" stroked="t" coordsize="21600,21600" o:gfxdata="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ZqnejtkA&#10;AAAKAQAADwAAAAAAAAABACAAAAAiAAAAZHJzL2Rvd25yZXYueG1sUEsBAhQAFAAAAAgAh07iQHZu&#10;u3RXAgAAbwQAAA4AAAAAAAAAAQAgAAAAKAEAAGRycy9lMm9Eb2MueG1sUEsFBgAAAAAGAAYAWQEA&#10;APEFA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ascii="Times New Roman" w:hAnsi="Times New Roman" w:eastAsia="宋体" w:cs="Times New Roman"/>
        </w:rPr>
        <w:drawing>
          <wp:anchor distT="0" distB="0" distL="114300" distR="114300" simplePos="0" relativeHeight="251693056" behindDoc="1" locked="0" layoutInCell="1" allowOverlap="1">
            <wp:simplePos x="0" y="0"/>
            <wp:positionH relativeFrom="margin">
              <wp:align>center</wp:align>
            </wp:positionH>
            <wp:positionV relativeFrom="paragraph">
              <wp:posOffset>309245</wp:posOffset>
            </wp:positionV>
            <wp:extent cx="5305425" cy="7681595"/>
            <wp:effectExtent l="19050" t="19050" r="28575" b="14605"/>
            <wp:wrapNone/>
            <wp:docPr id="13" name="图片 13" descr="柳林泉域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柳林泉域底图"/>
                    <pic:cNvPicPr>
                      <a:picLocks noChangeAspect="1" noChangeArrowheads="1"/>
                    </pic:cNvPicPr>
                  </pic:nvPicPr>
                  <pic:blipFill>
                    <a:blip r:embed="rId42"/>
                    <a:srcRect/>
                    <a:stretch>
                      <a:fillRect/>
                    </a:stretch>
                  </pic:blipFill>
                  <pic:spPr>
                    <a:xfrm>
                      <a:off x="0" y="0"/>
                      <a:ext cx="5305425" cy="7681595"/>
                    </a:xfrm>
                    <a:prstGeom prst="rect">
                      <a:avLst/>
                    </a:prstGeom>
                    <a:noFill/>
                    <a:ln w="9525">
                      <a:solidFill>
                        <a:srgbClr val="000000"/>
                      </a:solidFill>
                      <a:miter lim="800000"/>
                      <a:headEnd/>
                      <a:tailEnd/>
                    </a:ln>
                  </pic:spPr>
                </pic:pic>
              </a:graphicData>
            </a:graphic>
          </wp:anchor>
        </w:drawing>
      </w:r>
      <w:r>
        <w:rPr>
          <w:rFonts w:ascii="Times New Roman" w:hAnsi="Times New Roman" w:eastAsia="宋体" w:cs="Times New Roman"/>
          <w:bCs/>
          <w:snapToGrid w:val="0"/>
          <w:kern w:val="0"/>
          <w:sz w:val="24"/>
          <w:szCs w:val="24"/>
        </w:rPr>
        <w:t xml:space="preserve">图7   </w:t>
      </w:r>
      <w:r>
        <w:rPr>
          <w:rFonts w:hint="eastAsia" w:ascii="Times New Roman" w:hAnsi="Times New Roman" w:eastAsia="宋体" w:cs="Times New Roman"/>
          <w:bCs/>
          <w:snapToGrid w:val="0"/>
          <w:kern w:val="0"/>
          <w:sz w:val="24"/>
          <w:szCs w:val="24"/>
        </w:rPr>
        <w:t>本项目与柳林泉域位置关系图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mc:AlternateContent>
          <mc:Choice Requires="wps">
            <w:drawing>
              <wp:anchor distT="0" distB="0" distL="114300" distR="114300" simplePos="0" relativeHeight="251696128" behindDoc="0" locked="0" layoutInCell="1" allowOverlap="1">
                <wp:simplePos x="0" y="0"/>
                <wp:positionH relativeFrom="column">
                  <wp:posOffset>2790190</wp:posOffset>
                </wp:positionH>
                <wp:positionV relativeFrom="paragraph">
                  <wp:posOffset>3392805</wp:posOffset>
                </wp:positionV>
                <wp:extent cx="1316990" cy="344170"/>
                <wp:effectExtent l="209550" t="19050" r="0" b="18415"/>
                <wp:wrapNone/>
                <wp:docPr id="17" name="椭圆形标注 17"/>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19.7pt;margin-top:267.15pt;height:27.1pt;width:103.7pt;z-index:251696128;mso-width-relative:page;mso-height-relative:page;" filled="f" stroked="t" coordsize="21600,21600" o:gfxdata="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cUmSPa&#10;AAAACwEAAA8AAAAAAAAAAQAgAAAAIgAAAGRycy9kb3ducmV2LnhtbFBLAQIUABQAAAAIAIdO4kAH&#10;trcGVwIAAG8EAAAOAAAAAAAAAAEAIAAAACkBAABkcnMvZTJvRG9jLnhtbFBLBQYAAAAABgAGAFkB&#10;AADyBQ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snapToGrid w:val="0"/>
          <w:kern w:val="0"/>
          <w:sz w:val="24"/>
          <w:szCs w:val="24"/>
        </w:rPr>
        <w:t>附</w:t>
      </w:r>
      <w:r>
        <w:rPr>
          <w:rFonts w:ascii="Times New Roman" w:hAnsi="Times New Roman" w:eastAsia="宋体" w:cs="Times New Roman"/>
        </w:rPr>
        <w:drawing>
          <wp:anchor distT="0" distB="0" distL="114300" distR="114300" simplePos="0" relativeHeight="251695104" behindDoc="1" locked="0" layoutInCell="1" allowOverlap="1">
            <wp:simplePos x="0" y="0"/>
            <wp:positionH relativeFrom="margin">
              <wp:align>center</wp:align>
            </wp:positionH>
            <wp:positionV relativeFrom="paragraph">
              <wp:posOffset>459740</wp:posOffset>
            </wp:positionV>
            <wp:extent cx="5192395" cy="7982585"/>
            <wp:effectExtent l="19050" t="19050" r="27305" b="18415"/>
            <wp:wrapNone/>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noChangeArrowheads="1"/>
                    </pic:cNvPicPr>
                  </pic:nvPicPr>
                  <pic:blipFill>
                    <a:blip r:embed="rId43"/>
                    <a:srcRect/>
                    <a:stretch>
                      <a:fillRect/>
                    </a:stretch>
                  </pic:blipFill>
                  <pic:spPr>
                    <a:xfrm>
                      <a:off x="0" y="0"/>
                      <a:ext cx="5192395" cy="7982585"/>
                    </a:xfrm>
                    <a:prstGeom prst="rect">
                      <a:avLst/>
                    </a:prstGeom>
                    <a:noFill/>
                    <a:ln w="9525">
                      <a:solidFill>
                        <a:srgbClr val="000000"/>
                      </a:solidFill>
                      <a:miter lim="800000"/>
                      <a:headEnd/>
                      <a:tailEnd/>
                    </a:ln>
                  </pic:spPr>
                </pic:pic>
              </a:graphicData>
            </a:graphic>
          </wp:anchor>
        </w:drawing>
      </w:r>
      <w:r>
        <w:rPr>
          <w:rFonts w:hint="eastAsia" w:ascii="Times New Roman" w:hAnsi="Times New Roman" w:eastAsia="宋体" w:cs="Times New Roman"/>
          <w:bCs/>
          <w:snapToGrid w:val="0"/>
          <w:kern w:val="0"/>
          <w:sz w:val="24"/>
          <w:szCs w:val="24"/>
        </w:rPr>
        <w:t>图</w:t>
      </w:r>
      <w:r>
        <w:rPr>
          <w:rFonts w:ascii="Times New Roman" w:hAnsi="Times New Roman" w:eastAsia="宋体" w:cs="Times New Roman"/>
          <w:bCs/>
          <w:snapToGrid w:val="0"/>
          <w:kern w:val="0"/>
          <w:sz w:val="24"/>
          <w:szCs w:val="24"/>
        </w:rPr>
        <w:t xml:space="preserve">8  </w:t>
      </w:r>
      <w:r>
        <w:rPr>
          <w:rFonts w:hint="eastAsia" w:ascii="Times New Roman" w:hAnsi="Times New Roman" w:eastAsia="宋体" w:cs="Times New Roman"/>
          <w:bCs/>
          <w:snapToGrid w:val="0"/>
          <w:kern w:val="0"/>
          <w:sz w:val="24"/>
          <w:szCs w:val="24"/>
        </w:rPr>
        <w:t>柳林县生态功能分区图</w:t>
      </w:r>
    </w:p>
    <w:p>
      <w:pPr>
        <w:rPr>
          <w:rFonts w:ascii="Times New Roman" w:hAnsi="Times New Roman" w:eastAsia="宋体" w:cs="Times New Roman"/>
          <w:bCs/>
          <w:snapToGrid w:val="0"/>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mc:AlternateContent>
          <mc:Choice Requires="wps">
            <w:drawing>
              <wp:anchor distT="0" distB="0" distL="114300" distR="114300" simplePos="0" relativeHeight="251698176" behindDoc="0" locked="0" layoutInCell="1" allowOverlap="1">
                <wp:simplePos x="0" y="0"/>
                <wp:positionH relativeFrom="column">
                  <wp:posOffset>2759075</wp:posOffset>
                </wp:positionH>
                <wp:positionV relativeFrom="paragraph">
                  <wp:posOffset>3343275</wp:posOffset>
                </wp:positionV>
                <wp:extent cx="1316990" cy="344170"/>
                <wp:effectExtent l="209550" t="19050" r="0" b="18415"/>
                <wp:wrapNone/>
                <wp:docPr id="20" name="椭圆形标注 20"/>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17.25pt;margin-top:263.25pt;height:27.1pt;width:103.7pt;z-index:251698176;mso-width-relative:page;mso-height-relative:page;" filled="f" stroked="t" coordsize="21600,21600" o:gfxdata="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VQBltkA&#10;AAALAQAADwAAAAAAAAABACAAAAAiAAAAZHJzL2Rvd25yZXYueG1sUEsBAhQAFAAAAAgAh07iQLgD&#10;2utXAgAAbwQAAA4AAAAAAAAAAQAgAAAAKAEAAGRycy9lMm9Eb2MueG1sUEsFBgAAAAAGAAYAWQEA&#10;APEFA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snapToGrid w:val="0"/>
          <w:kern w:val="0"/>
          <w:sz w:val="24"/>
          <w:szCs w:val="24"/>
        </w:rPr>
        <w:t>附</w:t>
      </w:r>
      <w:r>
        <w:rPr>
          <w:rFonts w:hint="eastAsia" w:ascii="Times New Roman" w:hAnsi="Times New Roman" w:eastAsia="宋体" w:cs="Times New Roman"/>
          <w:bCs/>
          <w:kern w:val="0"/>
          <w:sz w:val="24"/>
          <w:szCs w:val="24"/>
        </w:rPr>
        <w:drawing>
          <wp:anchor distT="0" distB="0" distL="114300" distR="114300" simplePos="0" relativeHeight="251697152" behindDoc="0" locked="0" layoutInCell="1" allowOverlap="1">
            <wp:simplePos x="0" y="0"/>
            <wp:positionH relativeFrom="margin">
              <wp:align>center</wp:align>
            </wp:positionH>
            <wp:positionV relativeFrom="paragraph">
              <wp:posOffset>306070</wp:posOffset>
            </wp:positionV>
            <wp:extent cx="5493385" cy="7727950"/>
            <wp:effectExtent l="0" t="0" r="0" b="6350"/>
            <wp:wrapNone/>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noChangeArrowheads="1"/>
                    </pic:cNvPicPr>
                  </pic:nvPicPr>
                  <pic:blipFill>
                    <a:blip r:embed="rId44"/>
                    <a:srcRect/>
                    <a:stretch>
                      <a:fillRect/>
                    </a:stretch>
                  </pic:blipFill>
                  <pic:spPr>
                    <a:xfrm>
                      <a:off x="0" y="0"/>
                      <a:ext cx="5493385" cy="7727950"/>
                    </a:xfrm>
                    <a:prstGeom prst="rect">
                      <a:avLst/>
                    </a:prstGeom>
                    <a:noFill/>
                    <a:ln>
                      <a:noFill/>
                    </a:ln>
                  </pic:spPr>
                </pic:pic>
              </a:graphicData>
            </a:graphic>
          </wp:anchor>
        </w:drawing>
      </w:r>
      <w:r>
        <w:rPr>
          <w:rFonts w:hint="eastAsia" w:ascii="Times New Roman" w:hAnsi="Times New Roman" w:eastAsia="宋体" w:cs="Times New Roman"/>
          <w:bCs/>
          <w:snapToGrid w:val="0"/>
          <w:kern w:val="0"/>
          <w:sz w:val="24"/>
          <w:szCs w:val="24"/>
        </w:rPr>
        <w:t>图</w:t>
      </w:r>
      <w:r>
        <w:rPr>
          <w:rFonts w:ascii="Times New Roman" w:hAnsi="Times New Roman" w:eastAsia="宋体" w:cs="Times New Roman"/>
          <w:bCs/>
          <w:snapToGrid w:val="0"/>
          <w:kern w:val="0"/>
          <w:sz w:val="24"/>
          <w:szCs w:val="24"/>
        </w:rPr>
        <w:t xml:space="preserve">9  </w:t>
      </w:r>
      <w:r>
        <w:rPr>
          <w:rFonts w:hint="eastAsia" w:ascii="Times New Roman" w:hAnsi="Times New Roman" w:eastAsia="宋体" w:cs="Times New Roman"/>
          <w:bCs/>
          <w:snapToGrid w:val="0"/>
          <w:kern w:val="0"/>
          <w:sz w:val="24"/>
          <w:szCs w:val="24"/>
        </w:rPr>
        <w:t>柳林县生态经济分区图</w:t>
      </w:r>
    </w:p>
    <w:p>
      <w:pPr>
        <w:rPr>
          <w:rFonts w:hint="eastAsia" w:ascii="Times New Roman" w:hAnsi="Times New Roman" w:eastAsia="宋体" w:cs="Times New Roman"/>
          <w:bCs/>
        </w:rPr>
      </w:pPr>
      <w:r>
        <mc:AlternateContent>
          <mc:Choice Requires="wps">
            <w:drawing>
              <wp:anchor distT="0" distB="0" distL="114300" distR="114300" simplePos="0" relativeHeight="251700224" behindDoc="0" locked="0" layoutInCell="1" allowOverlap="1">
                <wp:simplePos x="0" y="0"/>
                <wp:positionH relativeFrom="column">
                  <wp:posOffset>3350260</wp:posOffset>
                </wp:positionH>
                <wp:positionV relativeFrom="paragraph">
                  <wp:posOffset>3806190</wp:posOffset>
                </wp:positionV>
                <wp:extent cx="1316990" cy="344170"/>
                <wp:effectExtent l="209550" t="19050" r="0" b="18415"/>
                <wp:wrapNone/>
                <wp:docPr id="22" name="椭圆形标注 22"/>
                <wp:cNvGraphicFramePr/>
                <a:graphic xmlns:a="http://schemas.openxmlformats.org/drawingml/2006/main">
                  <a:graphicData uri="http://schemas.microsoft.com/office/word/2010/wordprocessingShape">
                    <wps:wsp>
                      <wps:cNvSpPr>
                        <a:spLocks noChangeArrowheads="1"/>
                      </wps:cNvSpPr>
                      <wps:spPr bwMode="auto">
                        <a:xfrm>
                          <a:off x="0" y="0"/>
                          <a:ext cx="1317072" cy="343948"/>
                        </a:xfrm>
                        <a:prstGeom prst="wedgeEllipseCallout">
                          <a:avLst>
                            <a:gd name="adj1" fmla="val -62005"/>
                            <a:gd name="adj2" fmla="val 47921"/>
                          </a:avLst>
                        </a:prstGeom>
                        <a:noFill/>
                        <a:ln w="6350">
                          <a:solidFill>
                            <a:srgbClr val="000000"/>
                          </a:solidFill>
                          <a:miter lim="800000"/>
                        </a:ln>
                      </wps:spPr>
                      <wps:txb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263.8pt;margin-top:299.7pt;height:27.1pt;width:103.7pt;z-index:251700224;mso-width-relative:page;mso-height-relative:page;" filled="f" stroked="t" coordsize="21600,21600" o:gfxdata="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9peP9&#10;2wAAAAsBAAAPAAAAAAAAAAEAIAAAACIAAABkcnMvZG93bnJldi54bWxQSwECFAAUAAAACACHTuJA&#10;5pPSt1cCAABvBAAADgAAAAAAAAABACAAAAAqAQAAZHJzL2Uyb0RvYy54bWxQSwUGAAAAAAYABgBZ&#10;AQAA8wUAAAAA&#10;" adj="-2593,21151">
                <v:fill on="f" focussize="0,0"/>
                <v:stroke weight="0.5pt" color="#000000" miterlimit="8" joinstyle="miter"/>
                <v:imagedata o:title=""/>
                <o:lock v:ext="edit" aspectratio="f"/>
                <v:textbox>
                  <w:txbxContent>
                    <w:p>
                      <w:pPr>
                        <w:spacing w:line="240" w:lineRule="exact"/>
                        <w:jc w:val="center"/>
                        <w:rPr>
                          <w:rFonts w:ascii="仿宋" w:hAnsi="仿宋" w:eastAsia="仿宋" w:cs="楷体"/>
                          <w:b/>
                          <w:bCs/>
                          <w:szCs w:val="21"/>
                        </w:rPr>
                      </w:pPr>
                      <w:r>
                        <w:rPr>
                          <w:rFonts w:hint="eastAsia" w:ascii="仿宋" w:hAnsi="仿宋" w:eastAsia="仿宋" w:cs="楷体"/>
                          <w:b/>
                          <w:bCs/>
                          <w:szCs w:val="21"/>
                        </w:rPr>
                        <w:t>项目所在地</w:t>
                      </w:r>
                    </w:p>
                  </w:txbxContent>
                </v:textbox>
              </v:shape>
            </w:pict>
          </mc:Fallback>
        </mc:AlternateContent>
      </w:r>
      <w:r>
        <w:rPr>
          <w:rFonts w:hint="eastAsia" w:ascii="Times New Roman" w:hAnsi="Times New Roman" w:eastAsia="宋体" w:cs="Times New Roman"/>
          <w:bCs/>
        </w:rPr>
        <w:t>附</w:t>
      </w:r>
      <w:r>
        <w:rPr>
          <w:rFonts w:ascii="Times New Roman" w:hAnsi="Times New Roman" w:eastAsia="宋体" w:cs="Times New Roman"/>
        </w:rPr>
        <w:drawing>
          <wp:anchor distT="0" distB="0" distL="114300" distR="114300" simplePos="0" relativeHeight="251699200" behindDoc="1" locked="0" layoutInCell="1" allowOverlap="1">
            <wp:simplePos x="0" y="0"/>
            <wp:positionH relativeFrom="margin">
              <wp:align>center</wp:align>
            </wp:positionH>
            <wp:positionV relativeFrom="paragraph">
              <wp:posOffset>432435</wp:posOffset>
            </wp:positionV>
            <wp:extent cx="7294245" cy="4911090"/>
            <wp:effectExtent l="0" t="0" r="1905" b="3810"/>
            <wp:wrapNone/>
            <wp:docPr id="21" name="图片 21" descr="C:\Users\Administrator\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123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7294245" cy="4911090"/>
                    </a:xfrm>
                    <a:prstGeom prst="rect">
                      <a:avLst/>
                    </a:prstGeom>
                    <a:noFill/>
                    <a:ln>
                      <a:noFill/>
                    </a:ln>
                  </pic:spPr>
                </pic:pic>
              </a:graphicData>
            </a:graphic>
          </wp:anchor>
        </w:drawing>
      </w:r>
      <w:r>
        <w:rPr>
          <w:rFonts w:hint="eastAsia" w:ascii="Times New Roman" w:hAnsi="Times New Roman" w:eastAsia="宋体" w:cs="Times New Roman"/>
          <w:bCs/>
        </w:rPr>
        <w:t>图</w:t>
      </w:r>
      <w:r>
        <w:rPr>
          <w:rFonts w:ascii="Times New Roman" w:hAnsi="Times New Roman" w:eastAsia="宋体" w:cs="Times New Roman"/>
          <w:bCs/>
        </w:rPr>
        <w:t xml:space="preserve">10  </w:t>
      </w:r>
      <w:r>
        <w:rPr>
          <w:rFonts w:hint="eastAsia" w:ascii="Times New Roman" w:hAnsi="Times New Roman" w:eastAsia="宋体" w:cs="Times New Roman"/>
          <w:bCs/>
        </w:rPr>
        <w:t>柳林县城市总体规划图</w:t>
      </w: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lang w:val="en-US" w:eastAsia="zh-CN"/>
        </w:rPr>
      </w:pPr>
      <w:r>
        <w:rPr>
          <w:rFonts w:hint="eastAsia" w:ascii="Times New Roman" w:hAnsi="Times New Roman" w:eastAsia="宋体" w:cs="Times New Roman"/>
          <w:bCs/>
          <w:lang w:val="en-US" w:eastAsia="zh-CN"/>
        </w:rPr>
        <w:t>附件11 土地利用现状图</w:t>
      </w: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r>
        <w:drawing>
          <wp:anchor distT="0" distB="0" distL="114300" distR="114300" simplePos="0" relativeHeight="251810816" behindDoc="1" locked="0" layoutInCell="1" allowOverlap="1">
            <wp:simplePos x="0" y="0"/>
            <wp:positionH relativeFrom="column">
              <wp:posOffset>801370</wp:posOffset>
            </wp:positionH>
            <wp:positionV relativeFrom="paragraph">
              <wp:posOffset>-1974215</wp:posOffset>
            </wp:positionV>
            <wp:extent cx="7487285" cy="6113780"/>
            <wp:effectExtent l="0" t="0" r="18415" b="1270"/>
            <wp:wrapNone/>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46"/>
                    <a:stretch>
                      <a:fillRect/>
                    </a:stretch>
                  </pic:blipFill>
                  <pic:spPr>
                    <a:xfrm>
                      <a:off x="0" y="0"/>
                      <a:ext cx="7487285" cy="6113780"/>
                    </a:xfrm>
                    <a:prstGeom prst="rect">
                      <a:avLst/>
                    </a:prstGeom>
                    <a:noFill/>
                    <a:ln w="9525">
                      <a:noFill/>
                    </a:ln>
                  </pic:spPr>
                </pic:pic>
              </a:graphicData>
            </a:graphic>
          </wp:anchor>
        </w:drawing>
      </w: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pPr>
    </w:p>
    <w:p>
      <w:pPr>
        <w:rPr>
          <w:rFonts w:hint="eastAsia" w:ascii="Times New Roman" w:hAnsi="Times New Roman" w:eastAsia="宋体" w:cs="Times New Roman"/>
          <w:bCs/>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rPr>
          <w:rFonts w:hint="eastAsia" w:ascii="Calibri" w:hAnsi="Calibri" w:eastAsia="宋体" w:cs="Times New Roman"/>
          <w:bCs/>
          <w:snapToGrid w:val="0"/>
          <w:kern w:val="0"/>
          <w:sz w:val="24"/>
          <w:highlight w:val="none"/>
          <w:lang w:val="en-US" w:eastAsia="zh-CN"/>
        </w:rPr>
      </w:pPr>
      <w:r>
        <w:rPr>
          <w:rFonts w:hint="eastAsia" w:ascii="Calibri" w:hAnsi="Calibri" w:eastAsia="宋体" w:cs="Times New Roman"/>
          <w:bCs/>
          <w:snapToGrid w:val="0"/>
          <w:kern w:val="0"/>
          <w:sz w:val="24"/>
          <w:highlight w:val="none"/>
          <w:lang w:val="en-US" w:eastAsia="zh-CN"/>
        </w:rPr>
        <w:t>附件11 项目勘界报告</w:t>
      </w:r>
    </w:p>
    <w:p>
      <w:pPr>
        <w:rPr>
          <w:rFonts w:hint="eastAsia" w:ascii="Calibri" w:hAnsi="Calibri" w:eastAsia="宋体" w:cs="Times New Roman"/>
          <w:bCs/>
          <w:snapToGrid w:val="0"/>
          <w:kern w:val="0"/>
          <w:sz w:val="24"/>
          <w:highlight w:val="none"/>
        </w:rPr>
      </w:pP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54" name="图片 54" descr="合作社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合作社2001"/>
                    <pic:cNvPicPr>
                      <a:picLocks noChangeAspect="1"/>
                    </pic:cNvPicPr>
                  </pic:nvPicPr>
                  <pic:blipFill>
                    <a:blip r:embed="rId47"/>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44" name="图片 44" descr="合作社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合作社1002"/>
                    <pic:cNvPicPr>
                      <a:picLocks noChangeAspect="1"/>
                    </pic:cNvPicPr>
                  </pic:nvPicPr>
                  <pic:blipFill>
                    <a:blip r:embed="rId48"/>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45" name="图片 45" descr="合作社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合作社1003"/>
                    <pic:cNvPicPr>
                      <a:picLocks noChangeAspect="1"/>
                    </pic:cNvPicPr>
                  </pic:nvPicPr>
                  <pic:blipFill>
                    <a:blip r:embed="rId49"/>
                    <a:stretch>
                      <a:fillRect/>
                    </a:stretch>
                  </pic:blipFill>
                  <pic:spPr>
                    <a:xfrm rot="10800000">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46" name="图片 46" descr="合作社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合作社1004"/>
                    <pic:cNvPicPr>
                      <a:picLocks noChangeAspect="1"/>
                    </pic:cNvPicPr>
                  </pic:nvPicPr>
                  <pic:blipFill>
                    <a:blip r:embed="rId50"/>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47" name="图片 47" descr="合作社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合作社1005"/>
                    <pic:cNvPicPr>
                      <a:picLocks noChangeAspect="1"/>
                    </pic:cNvPicPr>
                  </pic:nvPicPr>
                  <pic:blipFill>
                    <a:blip r:embed="rId51"/>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56" name="图片 56" descr="合作社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合作社2006"/>
                    <pic:cNvPicPr>
                      <a:picLocks noChangeAspect="1"/>
                    </pic:cNvPicPr>
                  </pic:nvPicPr>
                  <pic:blipFill>
                    <a:blip r:embed="rId52"/>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55005" cy="8140700"/>
            <wp:effectExtent l="0" t="0" r="17145" b="12700"/>
            <wp:docPr id="55" name="图片 55" descr="合作社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合作社2007"/>
                    <pic:cNvPicPr>
                      <a:picLocks noChangeAspect="1"/>
                    </pic:cNvPicPr>
                  </pic:nvPicPr>
                  <pic:blipFill>
                    <a:blip r:embed="rId53"/>
                    <a:stretch>
                      <a:fillRect/>
                    </a:stretch>
                  </pic:blipFill>
                  <pic:spPr>
                    <a:xfrm>
                      <a:off x="0" y="0"/>
                      <a:ext cx="5755005" cy="8140700"/>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58" name="图片 58" descr="合作社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合作社2008"/>
                    <pic:cNvPicPr>
                      <a:picLocks noChangeAspect="1"/>
                    </pic:cNvPicPr>
                  </pic:nvPicPr>
                  <pic:blipFill>
                    <a:blip r:embed="rId54"/>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59" name="图片 59" descr="合作社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合作社2009"/>
                    <pic:cNvPicPr>
                      <a:picLocks noChangeAspect="1"/>
                    </pic:cNvPicPr>
                  </pic:nvPicPr>
                  <pic:blipFill>
                    <a:blip r:embed="rId55"/>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Cs/>
          <w:lang w:eastAsia="zh-CN"/>
        </w:rPr>
        <w:drawing>
          <wp:inline distT="0" distB="0" distL="114300" distR="114300">
            <wp:extent cx="5719445" cy="8090535"/>
            <wp:effectExtent l="0" t="0" r="14605" b="5715"/>
            <wp:docPr id="60" name="图片 60" descr="合作社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合作社2010"/>
                    <pic:cNvPicPr>
                      <a:picLocks noChangeAspect="1"/>
                    </pic:cNvPicPr>
                  </pic:nvPicPr>
                  <pic:blipFill>
                    <a:blip r:embed="rId56"/>
                    <a:stretch>
                      <a:fillRect/>
                    </a:stretch>
                  </pic:blipFill>
                  <pic:spPr>
                    <a:xfrm>
                      <a:off x="0" y="0"/>
                      <a:ext cx="5719445" cy="8090535"/>
                    </a:xfrm>
                    <a:prstGeom prst="rect">
                      <a:avLst/>
                    </a:prstGeom>
                  </pic:spPr>
                </pic:pic>
              </a:graphicData>
            </a:graphic>
          </wp:inline>
        </w:drawing>
      </w:r>
    </w:p>
    <w:p>
      <w:pPr>
        <w:rPr>
          <w:rFonts w:hint="eastAsia" w:ascii="Calibri" w:hAnsi="Calibri" w:eastAsia="宋体" w:cs="Times New Roman"/>
          <w:bCs/>
          <w:snapToGrid w:val="0"/>
          <w:kern w:val="0"/>
          <w:sz w:val="24"/>
          <w:highlight w:val="none"/>
        </w:rPr>
      </w:pPr>
    </w:p>
    <w:p>
      <w:pPr>
        <w:rPr>
          <w:rFonts w:ascii="Calibri" w:hAnsi="Calibri" w:eastAsia="宋体" w:cs="Times New Roman"/>
          <w:bCs/>
          <w:snapToGrid w:val="0"/>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Calibri" w:hAnsi="Calibri" w:eastAsia="宋体" w:cs="Times New Roman"/>
          <w:bCs/>
          <w:snapToGrid w:val="0"/>
          <w:kern w:val="0"/>
          <w:sz w:val="24"/>
          <w:highlight w:val="none"/>
        </w:rPr>
        <w:t>附件1 委托书</w:t>
      </w:r>
      <w:r>
        <w:rPr>
          <w:rFonts w:hint="eastAsia" w:ascii="Calibri" w:hAnsi="Calibri" w:eastAsia="宋体" w:cs="Times New Roman"/>
          <w:bCs/>
          <w:snapToGrid w:val="0"/>
          <w:kern w:val="0"/>
          <w:sz w:val="24"/>
          <w:highlight w:val="none"/>
          <w:lang w:eastAsia="zh-CN"/>
        </w:rPr>
        <w:drawing>
          <wp:anchor distT="0" distB="0" distL="114300" distR="114300" simplePos="0" relativeHeight="251854848" behindDoc="0" locked="0" layoutInCell="1" allowOverlap="1">
            <wp:simplePos x="0" y="0"/>
            <wp:positionH relativeFrom="column">
              <wp:posOffset>12065</wp:posOffset>
            </wp:positionH>
            <wp:positionV relativeFrom="paragraph">
              <wp:posOffset>-27305</wp:posOffset>
            </wp:positionV>
            <wp:extent cx="5755005" cy="8139430"/>
            <wp:effectExtent l="0" t="0" r="17145" b="13970"/>
            <wp:wrapNone/>
            <wp:docPr id="24" name="图片 24" descr="微信图片_2021051708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10517084045"/>
                    <pic:cNvPicPr>
                      <a:picLocks noChangeAspect="1"/>
                    </pic:cNvPicPr>
                  </pic:nvPicPr>
                  <pic:blipFill>
                    <a:blip r:embed="rId57"/>
                    <a:stretch>
                      <a:fillRect/>
                    </a:stretch>
                  </pic:blipFill>
                  <pic:spPr>
                    <a:xfrm>
                      <a:off x="0" y="0"/>
                      <a:ext cx="5755005" cy="8139430"/>
                    </a:xfrm>
                    <a:prstGeom prst="rect">
                      <a:avLst/>
                    </a:prstGeom>
                  </pic:spPr>
                </pic:pic>
              </a:graphicData>
            </a:graphic>
          </wp:anchor>
        </w:drawing>
      </w:r>
    </w:p>
    <w:p>
      <w:pPr>
        <w:widowControl/>
        <w:adjustRightInd w:val="0"/>
        <w:snapToGrid w:val="0"/>
        <w:spacing w:before="156" w:beforeLines="50" w:after="156" w:afterLines="50"/>
        <w:rPr>
          <w:bCs/>
          <w:snapToGrid w:val="0"/>
          <w:kern w:val="0"/>
          <w:sz w:val="24"/>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bCs/>
          <w:snapToGrid w:val="0"/>
          <w:kern w:val="0"/>
          <w:sz w:val="24"/>
        </w:rPr>
        <w:drawing>
          <wp:anchor distT="0" distB="0" distL="114300" distR="114300" simplePos="0" relativeHeight="251706368" behindDoc="1" locked="0" layoutInCell="1" allowOverlap="1">
            <wp:simplePos x="0" y="0"/>
            <wp:positionH relativeFrom="margin">
              <wp:align>center</wp:align>
            </wp:positionH>
            <wp:positionV relativeFrom="paragraph">
              <wp:posOffset>-872490</wp:posOffset>
            </wp:positionV>
            <wp:extent cx="5698490" cy="8059420"/>
            <wp:effectExtent l="318" t="0" r="0" b="0"/>
            <wp:wrapNone/>
            <wp:docPr id="29" name="图片 29" descr="D:\缘起青青   工作\项目\环评\柳林\柳林县穆村镇安沟村安沟股份经济合作社年产5000吨豆制品生产项目\项目备案证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缘起青青   工作\项目\环评\柳林\柳林县穆村镇安沟村安沟股份经济合作社年产5000吨豆制品生产项目\项目备案证001.jpg"/>
                    <pic:cNvPicPr>
                      <a:picLocks noChangeAspect="1" noChangeArrowheads="1"/>
                    </pic:cNvPicPr>
                  </pic:nvPicPr>
                  <pic:blipFill>
                    <a:blip r:embed="rId58"/>
                    <a:srcRect/>
                    <a:stretch>
                      <a:fillRect/>
                    </a:stretch>
                  </pic:blipFill>
                  <pic:spPr>
                    <a:xfrm rot="5400000">
                      <a:off x="0" y="0"/>
                      <a:ext cx="5698453" cy="8059651"/>
                    </a:xfrm>
                    <a:prstGeom prst="rect">
                      <a:avLst/>
                    </a:prstGeom>
                    <a:noFill/>
                    <a:ln>
                      <a:noFill/>
                    </a:ln>
                  </pic:spPr>
                </pic:pic>
              </a:graphicData>
            </a:graphic>
          </wp:anchor>
        </w:drawing>
      </w:r>
      <w:r>
        <w:rPr>
          <w:rFonts w:hint="eastAsia"/>
          <w:bCs/>
          <w:snapToGrid w:val="0"/>
          <w:kern w:val="0"/>
          <w:sz w:val="24"/>
        </w:rPr>
        <w:t>附件2 备案证</w:t>
      </w:r>
    </w:p>
    <w:p>
      <w:pPr>
        <w:widowControl/>
        <w:adjustRightInd w:val="0"/>
        <w:snapToGrid w:val="0"/>
        <w:spacing w:before="156" w:beforeLines="50" w:after="156" w:afterLines="50"/>
        <w:rPr>
          <w:rFonts w:ascii="Times New Roman" w:hAnsi="Times New Roman" w:eastAsia="宋体" w:cs="Times New Roman"/>
          <w:bCs/>
          <w:snapToGrid w:val="0"/>
          <w:kern w:val="0"/>
          <w:sz w:val="24"/>
          <w:szCs w:val="24"/>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bCs/>
          <w:snapToGrid w:val="0"/>
          <w:kern w:val="0"/>
          <w:sz w:val="24"/>
          <w:szCs w:val="24"/>
        </w:rPr>
        <w:drawing>
          <wp:anchor distT="0" distB="0" distL="114300" distR="114300" simplePos="0" relativeHeight="251707392" behindDoc="1" locked="0" layoutInCell="1" allowOverlap="1">
            <wp:simplePos x="0" y="0"/>
            <wp:positionH relativeFrom="margin">
              <wp:align>center</wp:align>
            </wp:positionH>
            <wp:positionV relativeFrom="paragraph">
              <wp:posOffset>-727075</wp:posOffset>
            </wp:positionV>
            <wp:extent cx="5370195" cy="7584440"/>
            <wp:effectExtent l="0" t="1905" r="0" b="0"/>
            <wp:wrapNone/>
            <wp:docPr id="30" name="图片 30" descr="D:\缘起青青   工作\项目\环评\柳林\柳林县穆村镇安沟村安沟股份经济合作社年产5000吨豆制品生产项目\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缘起青青   工作\项目\环评\柳林\柳林县穆村镇安沟村安沟股份经济合作社年产5000吨豆制品生产项目\营业执照.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rot="16200000">
                      <a:off x="0" y="0"/>
                      <a:ext cx="5370433" cy="7584200"/>
                    </a:xfrm>
                    <a:prstGeom prst="rect">
                      <a:avLst/>
                    </a:prstGeom>
                    <a:noFill/>
                    <a:ln>
                      <a:noFill/>
                    </a:ln>
                  </pic:spPr>
                </pic:pic>
              </a:graphicData>
            </a:graphic>
          </wp:anchor>
        </w:drawing>
      </w:r>
      <w:r>
        <w:rPr>
          <w:rFonts w:ascii="Times New Roman" w:hAnsi="Times New Roman" w:eastAsia="宋体" w:cs="Times New Roman"/>
          <w:bCs/>
          <w:snapToGrid w:val="0"/>
          <w:kern w:val="0"/>
          <w:sz w:val="24"/>
          <w:szCs w:val="24"/>
        </w:rPr>
        <w:t>附件</w:t>
      </w:r>
      <w:r>
        <w:rPr>
          <w:rFonts w:hint="eastAsia" w:ascii="Times New Roman" w:hAnsi="Times New Roman" w:eastAsia="宋体" w:cs="Times New Roman"/>
          <w:bCs/>
          <w:snapToGrid w:val="0"/>
          <w:kern w:val="0"/>
          <w:sz w:val="24"/>
          <w:szCs w:val="24"/>
        </w:rPr>
        <w:t>3</w:t>
      </w:r>
      <w:r>
        <w:rPr>
          <w:rFonts w:ascii="Times New Roman" w:hAnsi="Times New Roman" w:eastAsia="宋体" w:cs="Times New Roman"/>
          <w:bCs/>
          <w:snapToGrid w:val="0"/>
          <w:kern w:val="0"/>
          <w:sz w:val="24"/>
          <w:szCs w:val="24"/>
        </w:rPr>
        <w:t xml:space="preserve">  </w:t>
      </w:r>
      <w:r>
        <w:rPr>
          <w:rFonts w:hint="eastAsia" w:ascii="Times New Roman" w:hAnsi="Times New Roman" w:eastAsia="宋体" w:cs="Times New Roman"/>
          <w:bCs/>
          <w:snapToGrid w:val="0"/>
          <w:kern w:val="0"/>
          <w:sz w:val="24"/>
          <w:szCs w:val="24"/>
        </w:rPr>
        <w:t>营业执照</w:t>
      </w:r>
    </w:p>
    <w:p>
      <w:pPr>
        <w:widowControl/>
        <w:adjustRightInd w:val="0"/>
        <w:snapToGrid w:val="0"/>
        <w:spacing w:before="156" w:beforeLines="50" w:after="156" w:afterLines="50"/>
        <w:rPr>
          <w:bCs/>
          <w:snapToGrid w:val="0"/>
          <w:kern w:val="0"/>
          <w:sz w:val="24"/>
        </w:rPr>
      </w:pPr>
      <w:r>
        <w:rPr>
          <w:bCs/>
          <w:snapToGrid w:val="0"/>
          <w:kern w:val="0"/>
          <w:sz w:val="24"/>
        </w:rPr>
        <w:t>附件</w:t>
      </w:r>
      <w:r>
        <w:rPr>
          <w:rFonts w:hint="eastAsia"/>
          <w:bCs/>
          <w:snapToGrid w:val="0"/>
          <w:kern w:val="0"/>
          <w:sz w:val="24"/>
        </w:rPr>
        <w:t>4</w:t>
      </w:r>
      <w:r>
        <w:rPr>
          <w:bCs/>
          <w:snapToGrid w:val="0"/>
          <w:kern w:val="0"/>
          <w:sz w:val="24"/>
        </w:rPr>
        <w:t xml:space="preserve">  承包合同</w:t>
      </w:r>
    </w:p>
    <w:p>
      <w:pPr>
        <w:rPr>
          <w:rFonts w:ascii="Times New Roman" w:hAnsi="Times New Roman" w:eastAsia="宋体" w:cs="Times New Roman"/>
          <w:u w:val="single"/>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u w:val="single"/>
        </w:rPr>
        <w:pict>
          <v:shape id="_x0000_i1037" o:spt="75" alt="承包合同001" type="#_x0000_t75" style="height:641.2pt;width:453.05pt;" filled="f" o:preferrelative="t" stroked="f" coordsize="21600,21600">
            <v:path/>
            <v:fill on="f" focussize="0,0"/>
            <v:stroke on="f"/>
            <v:imagedata r:id="rId60" o:title="承包合同001"/>
            <o:lock v:ext="edit" aspectratio="t"/>
            <w10:wrap type="none"/>
            <w10:anchorlock/>
          </v:shape>
        </w:pict>
      </w:r>
      <w:r>
        <w:rPr>
          <w:rFonts w:ascii="Times New Roman" w:hAnsi="Times New Roman" w:eastAsia="宋体" w:cs="Times New Roman"/>
          <w:u w:val="single"/>
        </w:rPr>
        <w:pict>
          <v:shape id="_x0000_i1038" o:spt="75" alt="承包合同002" type="#_x0000_t75" style="height:641.2pt;width:453.05pt;" filled="f" o:preferrelative="t" stroked="f" coordsize="21600,21600">
            <v:path/>
            <v:fill on="f" focussize="0,0"/>
            <v:stroke on="f"/>
            <v:imagedata r:id="rId61" o:title="承包合同002"/>
            <o:lock v:ext="edit" aspectratio="t"/>
            <w10:wrap type="none"/>
            <w10:anchorlock/>
          </v:shape>
        </w:pict>
      </w:r>
      <w:r>
        <w:rPr>
          <w:rFonts w:ascii="Times New Roman" w:hAnsi="Times New Roman" w:eastAsia="宋体" w:cs="Times New Roman"/>
          <w:u w:val="single"/>
        </w:rPr>
        <w:pict>
          <v:shape id="_x0000_i1039" o:spt="75" alt="承包合同003" type="#_x0000_t75" style="height:641.2pt;width:453.05pt;" filled="f" o:preferrelative="t" stroked="f" coordsize="21600,21600">
            <v:path/>
            <v:fill on="f" focussize="0,0"/>
            <v:stroke on="f"/>
            <v:imagedata r:id="rId62" o:title="承包合同003"/>
            <o:lock v:ext="edit" aspectratio="t"/>
            <w10:wrap type="none"/>
            <w10:anchorlock/>
          </v:shape>
        </w:pict>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703296" behindDoc="1" locked="0" layoutInCell="1" allowOverlap="1">
            <wp:simplePos x="0" y="0"/>
            <wp:positionH relativeFrom="margin">
              <wp:align>center</wp:align>
            </wp:positionH>
            <wp:positionV relativeFrom="paragraph">
              <wp:posOffset>166370</wp:posOffset>
            </wp:positionV>
            <wp:extent cx="5981700" cy="8374380"/>
            <wp:effectExtent l="0" t="0" r="0" b="762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981700" cy="8374380"/>
                    </a:xfrm>
                    <a:prstGeom prst="rect">
                      <a:avLst/>
                    </a:prstGeom>
                  </pic:spPr>
                </pic:pic>
              </a:graphicData>
            </a:graphic>
          </wp:anchor>
        </w:drawing>
      </w:r>
      <w:r>
        <w:rPr>
          <w:rFonts w:ascii="Times New Roman" w:hAnsi="Times New Roman" w:eastAsia="宋体" w:cs="Times New Roman"/>
          <w:sz w:val="24"/>
        </w:rPr>
        <w:t>附件</w:t>
      </w:r>
      <w:r>
        <w:rPr>
          <w:rFonts w:hint="eastAsia" w:ascii="Times New Roman" w:hAnsi="Times New Roman" w:eastAsia="宋体" w:cs="Times New Roman"/>
          <w:sz w:val="24"/>
        </w:rPr>
        <w:t>5</w:t>
      </w:r>
      <w:r>
        <w:rPr>
          <w:rFonts w:ascii="Times New Roman" w:hAnsi="Times New Roman" w:eastAsia="宋体" w:cs="Times New Roman"/>
          <w:sz w:val="24"/>
        </w:rPr>
        <w:t xml:space="preserve">  原料购销意向书</w:t>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0" distR="0">
            <wp:extent cx="5759450" cy="795083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4"/>
                    <a:stretch>
                      <a:fillRect/>
                    </a:stretch>
                  </pic:blipFill>
                  <pic:spPr>
                    <a:xfrm>
                      <a:off x="0" y="0"/>
                      <a:ext cx="5759450" cy="7950835"/>
                    </a:xfrm>
                    <a:prstGeom prst="rect">
                      <a:avLst/>
                    </a:prstGeom>
                  </pic:spPr>
                </pic:pic>
              </a:graphicData>
            </a:graphic>
          </wp:inline>
        </w:drawing>
      </w:r>
    </w:p>
    <w:p>
      <w:pPr>
        <w:rPr>
          <w:rFonts w:ascii="Times New Roman" w:hAnsi="Times New Roman"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704320" behindDoc="1" locked="0" layoutInCell="1" allowOverlap="1">
            <wp:simplePos x="0" y="0"/>
            <wp:positionH relativeFrom="column">
              <wp:posOffset>4445</wp:posOffset>
            </wp:positionH>
            <wp:positionV relativeFrom="paragraph">
              <wp:posOffset>252095</wp:posOffset>
            </wp:positionV>
            <wp:extent cx="5676900" cy="8009890"/>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a:xfrm>
                      <a:off x="0" y="0"/>
                      <a:ext cx="5676900" cy="8009890"/>
                    </a:xfrm>
                    <a:prstGeom prst="rect">
                      <a:avLst/>
                    </a:prstGeom>
                    <a:ln>
                      <a:noFill/>
                    </a:ln>
                  </pic:spPr>
                </pic:pic>
              </a:graphicData>
            </a:graphic>
          </wp:anchor>
        </w:drawing>
      </w:r>
      <w:r>
        <w:rPr>
          <w:rFonts w:ascii="Times New Roman" w:hAnsi="Times New Roman" w:cs="Times New Roman"/>
          <w:sz w:val="24"/>
        </w:rPr>
        <w:t>附件</w:t>
      </w:r>
      <w:r>
        <w:rPr>
          <w:rFonts w:hint="eastAsia" w:ascii="Times New Roman" w:hAnsi="Times New Roman" w:cs="Times New Roman"/>
          <w:sz w:val="24"/>
        </w:rPr>
        <w:t>6</w:t>
      </w:r>
      <w:r>
        <w:rPr>
          <w:rFonts w:ascii="Times New Roman" w:hAnsi="Times New Roman" w:cs="Times New Roman"/>
          <w:sz w:val="24"/>
        </w:rPr>
        <w:t xml:space="preserve">  豆渣外销意向书</w:t>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705344" behindDoc="1" locked="0" layoutInCell="1" allowOverlap="1">
            <wp:simplePos x="0" y="0"/>
            <wp:positionH relativeFrom="margin">
              <wp:align>right</wp:align>
            </wp:positionH>
            <wp:positionV relativeFrom="paragraph">
              <wp:posOffset>175895</wp:posOffset>
            </wp:positionV>
            <wp:extent cx="5759450" cy="8104505"/>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759450" cy="8104505"/>
                    </a:xfrm>
                    <a:prstGeom prst="rect">
                      <a:avLst/>
                    </a:prstGeom>
                  </pic:spPr>
                </pic:pic>
              </a:graphicData>
            </a:graphic>
          </wp:anchor>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pict>
          <v:shape id="_x0000_s1044" o:spid="_x0000_s1044" o:spt="75" alt="污水处理合同001" type="#_x0000_t75" style="position:absolute;left:0pt;margin-left:0.3pt;margin-top:7.95pt;height:641.25pt;width:453pt;z-index:-251607040;mso-width-relative:page;mso-height-relative:page;" filled="f" o:preferrelative="t" stroked="f" coordsize="21600,21600">
            <v:path/>
            <v:fill on="f" focussize="0,0"/>
            <v:stroke on="f"/>
            <v:imagedata r:id="rId67" o:title="污水处理合同001"/>
            <o:lock v:ext="edit" aspectratio="t"/>
          </v:shape>
        </w:pict>
      </w:r>
      <w:r>
        <w:rPr>
          <w:rFonts w:hint="eastAsia" w:ascii="Times New Roman" w:hAnsi="Times New Roman" w:eastAsia="宋体" w:cs="Times New Roman"/>
          <w:sz w:val="24"/>
        </w:rPr>
        <w:t>附件7</w:t>
      </w:r>
      <w:r>
        <w:rPr>
          <w:rFonts w:ascii="Times New Roman" w:hAnsi="Times New Roman" w:eastAsia="宋体" w:cs="Times New Roman"/>
          <w:sz w:val="24"/>
        </w:rPr>
        <w:t xml:space="preserve">  蒸汽购销和污水处理合同</w:t>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drawing>
          <wp:inline distT="0" distB="0" distL="0" distR="0">
            <wp:extent cx="5759450" cy="8145780"/>
            <wp:effectExtent l="0" t="0" r="0" b="7620"/>
            <wp:docPr id="35" name="图片 35" descr="D:\缘起青青   工作\项目\环评\柳林\柳林县穆村镇安沟村安沟股份经济合作社年产5000吨豆制品生产项目\污水处理合同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缘起青青   工作\项目\环评\柳林\柳林县穆村镇安沟村安沟股份经济合作社年产5000吨豆制品生产项目\污水处理合同002.jpg"/>
                    <pic:cNvPicPr>
                      <a:picLocks noChangeAspect="1" noChangeArrowheads="1"/>
                    </pic:cNvPicPr>
                  </pic:nvPicPr>
                  <pic:blipFill>
                    <a:blip r:embed="rId68"/>
                    <a:srcRect/>
                    <a:stretch>
                      <a:fillRect/>
                    </a:stretch>
                  </pic:blipFill>
                  <pic:spPr>
                    <a:xfrm>
                      <a:off x="0" y="0"/>
                      <a:ext cx="5759450" cy="8145922"/>
                    </a:xfrm>
                    <a:prstGeom prst="rect">
                      <a:avLst/>
                    </a:prstGeom>
                    <a:noFill/>
                    <a:ln>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drawing>
          <wp:inline distT="0" distB="0" distL="0" distR="0">
            <wp:extent cx="5759450" cy="8145780"/>
            <wp:effectExtent l="0" t="0" r="0" b="7620"/>
            <wp:docPr id="36" name="图片 36" descr="D:\缘起青青   工作\项目\环评\柳林\柳林县穆村镇安沟村安沟股份经济合作社年产5000吨豆制品生产项目\污水处理合同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缘起青青   工作\项目\环评\柳林\柳林县穆村镇安沟村安沟股份经济合作社年产5000吨豆制品生产项目\污水处理合同003.jpg"/>
                    <pic:cNvPicPr>
                      <a:picLocks noChangeAspect="1" noChangeArrowheads="1"/>
                    </pic:cNvPicPr>
                  </pic:nvPicPr>
                  <pic:blipFill>
                    <a:blip r:embed="rId69"/>
                    <a:srcRect/>
                    <a:stretch>
                      <a:fillRect/>
                    </a:stretch>
                  </pic:blipFill>
                  <pic:spPr>
                    <a:xfrm>
                      <a:off x="0" y="0"/>
                      <a:ext cx="5759450" cy="8145922"/>
                    </a:xfrm>
                    <a:prstGeom prst="rect">
                      <a:avLst/>
                    </a:prstGeom>
                    <a:noFill/>
                    <a:ln>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drawing>
          <wp:inline distT="0" distB="0" distL="0" distR="0">
            <wp:extent cx="5759450" cy="8145780"/>
            <wp:effectExtent l="0" t="0" r="0" b="7620"/>
            <wp:docPr id="38" name="图片 38" descr="D:\缘起青青   工作\项目\环评\柳林\柳林县穆村镇安沟村安沟股份经济合作社年产5000吨豆制品生产项目\污水处理合同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缘起青青   工作\项目\环评\柳林\柳林县穆村镇安沟村安沟股份经济合作社年产5000吨豆制品生产项目\污水处理合同004.jpg"/>
                    <pic:cNvPicPr>
                      <a:picLocks noChangeAspect="1" noChangeArrowheads="1"/>
                    </pic:cNvPicPr>
                  </pic:nvPicPr>
                  <pic:blipFill>
                    <a:blip r:embed="rId70"/>
                    <a:srcRect/>
                    <a:stretch>
                      <a:fillRect/>
                    </a:stretch>
                  </pic:blipFill>
                  <pic:spPr>
                    <a:xfrm>
                      <a:off x="0" y="0"/>
                      <a:ext cx="5759450" cy="8145922"/>
                    </a:xfrm>
                    <a:prstGeom prst="rect">
                      <a:avLst/>
                    </a:prstGeom>
                    <a:noFill/>
                    <a:ln>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t>附件</w:t>
      </w:r>
      <w:r>
        <w:rPr>
          <w:rFonts w:hint="eastAsia" w:ascii="Times New Roman" w:hAnsi="Times New Roman" w:eastAsia="宋体" w:cs="Times New Roman"/>
          <w:sz w:val="24"/>
        </w:rPr>
        <w:t>8</w:t>
      </w:r>
      <w:r>
        <w:rPr>
          <w:rFonts w:ascii="Times New Roman" w:hAnsi="Times New Roman" w:eastAsia="宋体" w:cs="Times New Roman"/>
          <w:sz w:val="24"/>
        </w:rPr>
        <w:t xml:space="preserve">  噪声监测报告</w:t>
      </w:r>
      <w:r>
        <w:drawing>
          <wp:anchor distT="0" distB="0" distL="114300" distR="114300" simplePos="0" relativeHeight="251855872" behindDoc="1" locked="0" layoutInCell="1" allowOverlap="1">
            <wp:simplePos x="0" y="0"/>
            <wp:positionH relativeFrom="column">
              <wp:posOffset>0</wp:posOffset>
            </wp:positionH>
            <wp:positionV relativeFrom="paragraph">
              <wp:posOffset>281940</wp:posOffset>
            </wp:positionV>
            <wp:extent cx="5753735" cy="8139430"/>
            <wp:effectExtent l="0" t="0" r="18415" b="13970"/>
            <wp:wrapNone/>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71"/>
                    <a:stretch>
                      <a:fillRect/>
                    </a:stretch>
                  </pic:blipFill>
                  <pic:spPr>
                    <a:xfrm>
                      <a:off x="0" y="0"/>
                      <a:ext cx="5753735" cy="8139430"/>
                    </a:xfrm>
                    <a:prstGeom prst="rect">
                      <a:avLst/>
                    </a:prstGeom>
                    <a:noFill/>
                    <a:ln w="9525">
                      <a:noFill/>
                    </a:ln>
                  </pic:spPr>
                </pic:pic>
              </a:graphicData>
            </a:graphic>
          </wp:anchor>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0" distR="0">
            <wp:extent cx="5759450" cy="816102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72"/>
                    <a:stretch>
                      <a:fillRect/>
                    </a:stretch>
                  </pic:blipFill>
                  <pic:spPr>
                    <a:xfrm>
                      <a:off x="0" y="0"/>
                      <a:ext cx="5759450" cy="8161020"/>
                    </a:xfrm>
                    <a:prstGeom prst="rect">
                      <a:avLst/>
                    </a:prstGeom>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0" distR="0">
            <wp:extent cx="5759450" cy="806704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73"/>
                    <a:stretch>
                      <a:fillRect/>
                    </a:stretch>
                  </pic:blipFill>
                  <pic:spPr>
                    <a:xfrm>
                      <a:off x="0" y="0"/>
                      <a:ext cx="5759450" cy="8067040"/>
                    </a:xfrm>
                    <a:prstGeom prst="rect">
                      <a:avLst/>
                    </a:prstGeom>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0" distR="0">
            <wp:extent cx="5759450" cy="815467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74"/>
                    <a:stretch>
                      <a:fillRect/>
                    </a:stretch>
                  </pic:blipFill>
                  <pic:spPr>
                    <a:xfrm>
                      <a:off x="0" y="0"/>
                      <a:ext cx="5759450" cy="8154670"/>
                    </a:xfrm>
                    <a:prstGeom prst="rect">
                      <a:avLst/>
                    </a:prstGeom>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753735" cy="8166100"/>
            <wp:effectExtent l="0" t="0" r="18415" b="635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75"/>
                    <a:stretch>
                      <a:fillRect/>
                    </a:stretch>
                  </pic:blipFill>
                  <pic:spPr>
                    <a:xfrm>
                      <a:off x="0" y="0"/>
                      <a:ext cx="5753735" cy="8166100"/>
                    </a:xfrm>
                    <a:prstGeom prst="rect">
                      <a:avLst/>
                    </a:prstGeom>
                    <a:noFill/>
                    <a:ln w="9525">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758180" cy="8016875"/>
            <wp:effectExtent l="0" t="0" r="13970" b="3175"/>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76"/>
                    <a:stretch>
                      <a:fillRect/>
                    </a:stretch>
                  </pic:blipFill>
                  <pic:spPr>
                    <a:xfrm>
                      <a:off x="0" y="0"/>
                      <a:ext cx="5758180" cy="8016875"/>
                    </a:xfrm>
                    <a:prstGeom prst="rect">
                      <a:avLst/>
                    </a:prstGeom>
                    <a:noFill/>
                    <a:ln w="9525">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757545" cy="8130540"/>
            <wp:effectExtent l="0" t="0" r="14605" b="3810"/>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77"/>
                    <a:stretch>
                      <a:fillRect/>
                    </a:stretch>
                  </pic:blipFill>
                  <pic:spPr>
                    <a:xfrm>
                      <a:off x="0" y="0"/>
                      <a:ext cx="5757545" cy="8130540"/>
                    </a:xfrm>
                    <a:prstGeom prst="rect">
                      <a:avLst/>
                    </a:prstGeom>
                    <a:noFill/>
                    <a:ln w="9525">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758815" cy="8060690"/>
            <wp:effectExtent l="0" t="0" r="13335" b="16510"/>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78"/>
                    <a:stretch>
                      <a:fillRect/>
                    </a:stretch>
                  </pic:blipFill>
                  <pic:spPr>
                    <a:xfrm>
                      <a:off x="0" y="0"/>
                      <a:ext cx="5758815" cy="8060690"/>
                    </a:xfrm>
                    <a:prstGeom prst="rect">
                      <a:avLst/>
                    </a:prstGeom>
                    <a:noFill/>
                    <a:ln w="9525">
                      <a:noFill/>
                    </a:ln>
                  </pic:spPr>
                </pic:pic>
              </a:graphicData>
            </a:graphic>
          </wp:inline>
        </w:drawing>
      </w:r>
    </w:p>
    <w:p>
      <w:pPr>
        <w:rPr>
          <w:rFonts w:ascii="Times New Roman" w:hAnsi="Times New Roman" w:eastAsia="宋体" w:cs="Times New Roman"/>
          <w:sz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756275" cy="8157210"/>
            <wp:effectExtent l="0" t="0" r="15875" b="1524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79"/>
                    <a:stretch>
                      <a:fillRect/>
                    </a:stretch>
                  </pic:blipFill>
                  <pic:spPr>
                    <a:xfrm>
                      <a:off x="0" y="0"/>
                      <a:ext cx="5756275" cy="8157210"/>
                    </a:xfrm>
                    <a:prstGeom prst="rect">
                      <a:avLst/>
                    </a:prstGeom>
                    <a:noFill/>
                    <a:ln w="9525">
                      <a:noFill/>
                    </a:ln>
                  </pic:spPr>
                </pic:pic>
              </a:graphicData>
            </a:graphic>
          </wp:inline>
        </w:drawing>
      </w:r>
    </w:p>
    <w:p>
      <w:pPr>
        <w:rPr>
          <w:rFonts w:hint="eastAsia" w:ascii="Times New Roman" w:hAnsi="Times New Roman" w:eastAsia="宋体" w:cs="Times New Roman"/>
          <w:sz w:val="24"/>
          <w:lang w:val="en-US" w:eastAsia="zh-CN"/>
        </w:rPr>
      </w:pPr>
      <w:r>
        <w:drawing>
          <wp:anchor distT="0" distB="0" distL="114300" distR="114300" simplePos="0" relativeHeight="252098560" behindDoc="1" locked="0" layoutInCell="1" allowOverlap="1">
            <wp:simplePos x="0" y="0"/>
            <wp:positionH relativeFrom="column">
              <wp:posOffset>-719455</wp:posOffset>
            </wp:positionH>
            <wp:positionV relativeFrom="paragraph">
              <wp:posOffset>-716280</wp:posOffset>
            </wp:positionV>
            <wp:extent cx="7356475" cy="10446385"/>
            <wp:effectExtent l="0" t="0" r="15875" b="12065"/>
            <wp:wrapNone/>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80"/>
                    <a:stretch>
                      <a:fillRect/>
                    </a:stretch>
                  </pic:blipFill>
                  <pic:spPr>
                    <a:xfrm>
                      <a:off x="0" y="0"/>
                      <a:ext cx="7356475" cy="10446385"/>
                    </a:xfrm>
                    <a:prstGeom prst="rect">
                      <a:avLst/>
                    </a:prstGeom>
                    <a:noFill/>
                    <a:ln w="9525">
                      <a:noFill/>
                    </a:ln>
                  </pic:spPr>
                </pic:pic>
              </a:graphicData>
            </a:graphic>
          </wp:anchor>
        </w:drawing>
      </w:r>
      <w:r>
        <w:rPr>
          <w:rFonts w:ascii="Times New Roman" w:hAnsi="Times New Roman" w:eastAsia="宋体" w:cs="Times New Roman"/>
          <w:sz w:val="24"/>
        </w:rPr>
        <w:t xml:space="preserve">附件9  </w:t>
      </w:r>
      <w:r>
        <w:rPr>
          <w:rFonts w:hint="eastAsia" w:ascii="Times New Roman" w:hAnsi="Times New Roman" w:eastAsia="宋体" w:cs="Times New Roman"/>
          <w:sz w:val="24"/>
          <w:lang w:val="en-US" w:eastAsia="zh-CN"/>
        </w:rPr>
        <w:t>总量批复</w:t>
      </w: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rPr>
          <w:rFonts w:hint="eastAsia" w:ascii="Times New Roman" w:hAnsi="Times New Roman" w:eastAsia="宋体" w:cs="Times New Roman"/>
          <w:sz w:val="24"/>
          <w:lang w:val="en-US" w:eastAsia="zh-C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2098560" behindDoc="1" locked="0" layoutInCell="1" allowOverlap="1">
            <wp:simplePos x="0" y="0"/>
            <wp:positionH relativeFrom="column">
              <wp:posOffset>-2401570</wp:posOffset>
            </wp:positionH>
            <wp:positionV relativeFrom="paragraph">
              <wp:posOffset>737235</wp:posOffset>
            </wp:positionV>
            <wp:extent cx="10622915" cy="7481570"/>
            <wp:effectExtent l="0" t="0" r="5080" b="6985"/>
            <wp:wrapNone/>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81"/>
                    <a:stretch>
                      <a:fillRect/>
                    </a:stretch>
                  </pic:blipFill>
                  <pic:spPr>
                    <a:xfrm rot="16200000">
                      <a:off x="0" y="0"/>
                      <a:ext cx="10622915" cy="7481570"/>
                    </a:xfrm>
                    <a:prstGeom prst="rect">
                      <a:avLst/>
                    </a:prstGeom>
                    <a:noFill/>
                    <a:ln w="9525">
                      <a:noFill/>
                    </a:ln>
                  </pic:spPr>
                </pic:pic>
              </a:graphicData>
            </a:graphic>
          </wp:anchor>
        </w:drawing>
      </w:r>
    </w:p>
    <w:p>
      <w:pPr>
        <w:pStyle w:val="2"/>
        <w:rPr>
          <w:rFonts w:hint="eastAsia" w:ascii="Times New Roman" w:hAnsi="Times New Roman" w:eastAsia="宋体" w:cs="Times New Roman"/>
          <w:sz w:val="24"/>
          <w:lang w:val="en-US" w:eastAsia="zh-CN"/>
        </w:rPr>
      </w:pPr>
      <w:r>
        <w:drawing>
          <wp:anchor distT="0" distB="0" distL="114300" distR="114300" simplePos="0" relativeHeight="252098560" behindDoc="1" locked="0" layoutInCell="1" allowOverlap="1">
            <wp:simplePos x="0" y="0"/>
            <wp:positionH relativeFrom="column">
              <wp:posOffset>-2275205</wp:posOffset>
            </wp:positionH>
            <wp:positionV relativeFrom="paragraph">
              <wp:posOffset>1086485</wp:posOffset>
            </wp:positionV>
            <wp:extent cx="10504170" cy="6713220"/>
            <wp:effectExtent l="0" t="0" r="11430" b="11430"/>
            <wp:wrapNone/>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82"/>
                    <a:stretch>
                      <a:fillRect/>
                    </a:stretch>
                  </pic:blipFill>
                  <pic:spPr>
                    <a:xfrm rot="16200000">
                      <a:off x="0" y="0"/>
                      <a:ext cx="10504170" cy="6713220"/>
                    </a:xfrm>
                    <a:prstGeom prst="rect">
                      <a:avLst/>
                    </a:prstGeom>
                    <a:noFill/>
                    <a:ln w="9525">
                      <a:noFill/>
                    </a:ln>
                  </pic:spPr>
                </pic:pic>
              </a:graphicData>
            </a:graphic>
          </wp:anchor>
        </w:drawing>
      </w:r>
    </w:p>
    <w:p>
      <w:pPr>
        <w:pStyle w:val="2"/>
        <w:rPr>
          <w:rFonts w:hint="eastAsia" w:ascii="Times New Roman" w:hAnsi="Times New Roman" w:eastAsia="宋体" w:cs="Times New Roman"/>
          <w:sz w:val="24"/>
          <w:lang w:val="en-US" w:eastAsia="zh-CN"/>
        </w:rPr>
      </w:pPr>
    </w:p>
    <w:p>
      <w:pPr>
        <w:pStyle w:val="2"/>
        <w:rPr>
          <w:rFonts w:hint="eastAsia" w:ascii="Times New Roman" w:hAnsi="Times New Roman" w:eastAsia="宋体" w:cs="Times New Roman"/>
          <w:sz w:val="24"/>
          <w:lang w:val="en-US" w:eastAsia="zh-C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sz w:val="24"/>
        </w:rPr>
        <w:drawing>
          <wp:anchor distT="0" distB="0" distL="114300" distR="114300" simplePos="0" relativeHeight="251713536" behindDoc="1" locked="0" layoutInCell="1" allowOverlap="1">
            <wp:simplePos x="0" y="0"/>
            <wp:positionH relativeFrom="margin">
              <wp:posOffset>-699135</wp:posOffset>
            </wp:positionH>
            <wp:positionV relativeFrom="paragraph">
              <wp:posOffset>-470535</wp:posOffset>
            </wp:positionV>
            <wp:extent cx="7172325" cy="10155555"/>
            <wp:effectExtent l="0" t="0" r="0" b="0"/>
            <wp:wrapNone/>
            <wp:docPr id="15" name="图片 15" descr="C:\Users\ADMINI~1\AppData\Local\Temp\WeChat Files\928ffad62addcfb56cc49e17cda9b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1\AppData\Local\Temp\WeChat Files\928ffad62addcfb56cc49e17cda9ba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7172325" cy="10155504"/>
                    </a:xfrm>
                    <a:prstGeom prst="rect">
                      <a:avLst/>
                    </a:prstGeom>
                    <a:noFill/>
                    <a:ln>
                      <a:noFill/>
                    </a:ln>
                  </pic:spPr>
                </pic:pic>
              </a:graphicData>
            </a:graphic>
          </wp:anchor>
        </w:drawing>
      </w:r>
      <w:r>
        <w:rPr>
          <w:rFonts w:ascii="Times New Roman" w:hAnsi="Times New Roman" w:eastAsia="宋体" w:cs="Times New Roman"/>
          <w:sz w:val="24"/>
        </w:rPr>
        <w:t>附件</w:t>
      </w:r>
      <w:r>
        <w:rPr>
          <w:rFonts w:hint="eastAsia" w:ascii="Times New Roman" w:hAnsi="Times New Roman" w:eastAsia="宋体" w:cs="Times New Roman"/>
          <w:sz w:val="24"/>
          <w:lang w:val="en-US" w:eastAsia="zh-CN"/>
        </w:rPr>
        <w:t>10</w:t>
      </w:r>
      <w:r>
        <w:rPr>
          <w:rFonts w:ascii="Times New Roman" w:hAnsi="Times New Roman" w:eastAsia="宋体" w:cs="Times New Roman"/>
          <w:sz w:val="24"/>
        </w:rPr>
        <w:t xml:space="preserve">  专家意见</w:t>
      </w:r>
    </w:p>
    <w:p>
      <w:pPr>
        <w:pStyle w:val="2"/>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rPr>
          <w:rFonts w:ascii="Times New Roman" w:hAnsi="Times New Roman" w:eastAsia="宋体" w:cs="Times New Roman"/>
          <w:sz w:val="24"/>
        </w:rPr>
      </w:pPr>
      <w:r>
        <w:rPr>
          <w:rFonts w:ascii="Times New Roman" w:hAnsi="Times New Roman" w:eastAsia="宋体" w:cs="Times New Roman"/>
          <w:sz w:val="24"/>
        </w:rPr>
        <w:drawing>
          <wp:anchor distT="0" distB="0" distL="114300" distR="114300" simplePos="0" relativeHeight="251714560" behindDoc="1" locked="0" layoutInCell="1" allowOverlap="1">
            <wp:simplePos x="0" y="0"/>
            <wp:positionH relativeFrom="page">
              <wp:align>left</wp:align>
            </wp:positionH>
            <wp:positionV relativeFrom="paragraph">
              <wp:posOffset>-900430</wp:posOffset>
            </wp:positionV>
            <wp:extent cx="7553325" cy="10694670"/>
            <wp:effectExtent l="0" t="0" r="0" b="0"/>
            <wp:wrapNone/>
            <wp:docPr id="18" name="图片 18" descr="C:\Users\ADMINI~1\AppData\Local\Temp\WeChat Files\c66c1b0a6c4a3213a5bc981d46d1f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1\AppData\Local\Temp\WeChat Files\c66c1b0a6c4a3213a5bc981d46d1fec.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7565463" cy="10712160"/>
                    </a:xfrm>
                    <a:prstGeom prst="rect">
                      <a:avLst/>
                    </a:prstGeom>
                    <a:noFill/>
                    <a:ln>
                      <a:noFill/>
                    </a:ln>
                  </pic:spPr>
                </pic:pic>
              </a:graphicData>
            </a:graphic>
          </wp:anchor>
        </w:drawing>
      </w:r>
    </w:p>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TimesNewRomanPSMT">
    <w:altName w:val="等线"/>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6943838"/>
      <w:docPartObj>
        <w:docPartGallery w:val="autotext"/>
      </w:docPartObj>
    </w:sdtPr>
    <w:sdtContent>
      <w:p>
        <w:pPr>
          <w:pStyle w:val="14"/>
          <w:jc w:val="center"/>
        </w:pPr>
        <w:r>
          <w:fldChar w:fldCharType="begin"/>
        </w:r>
        <w:r>
          <w:instrText xml:space="preserve">PAGE   \* MERGEFORMAT</w:instrText>
        </w:r>
        <w:r>
          <w:fldChar w:fldCharType="separate"/>
        </w:r>
        <w:r>
          <w:rPr>
            <w:lang w:val="zh-CN"/>
          </w:rPr>
          <w:t>37</w:t>
        </w:r>
        <w:r>
          <w:fldChar w:fldCharType="end"/>
        </w:r>
      </w:p>
    </w:sdtContent>
  </w:sdt>
  <w:p>
    <w:pPr>
      <w:pStyle w:val="1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D1BB79E"/>
    <w:multiLevelType w:val="singleLevel"/>
    <w:tmpl w:val="FD1BB79E"/>
    <w:lvl w:ilvl="0" w:tentative="0">
      <w:start w:val="4"/>
      <w:numFmt w:val="chineseCounting"/>
      <w:suff w:val="nothing"/>
      <w:lvlText w:val="%1、"/>
      <w:lvlJc w:val="left"/>
      <w:rPr>
        <w:rFonts w:hint="eastAsia"/>
      </w:rPr>
    </w:lvl>
  </w:abstractNum>
  <w:abstractNum w:abstractNumId="1">
    <w:nsid w:val="43906A24"/>
    <w:multiLevelType w:val="singleLevel"/>
    <w:tmpl w:val="43906A24"/>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1874"/>
    <w:rsid w:val="0000001D"/>
    <w:rsid w:val="00023E1D"/>
    <w:rsid w:val="000264D1"/>
    <w:rsid w:val="00060BF9"/>
    <w:rsid w:val="00063AA2"/>
    <w:rsid w:val="00064EC0"/>
    <w:rsid w:val="0007039E"/>
    <w:rsid w:val="000713C1"/>
    <w:rsid w:val="00081262"/>
    <w:rsid w:val="00081874"/>
    <w:rsid w:val="000A2772"/>
    <w:rsid w:val="000C225F"/>
    <w:rsid w:val="000C47AA"/>
    <w:rsid w:val="00122D4F"/>
    <w:rsid w:val="001247C0"/>
    <w:rsid w:val="0013055A"/>
    <w:rsid w:val="0015621E"/>
    <w:rsid w:val="00165E11"/>
    <w:rsid w:val="001664D1"/>
    <w:rsid w:val="001826EC"/>
    <w:rsid w:val="00183370"/>
    <w:rsid w:val="00183E19"/>
    <w:rsid w:val="001869AE"/>
    <w:rsid w:val="001C3B93"/>
    <w:rsid w:val="001E387A"/>
    <w:rsid w:val="001F591A"/>
    <w:rsid w:val="0021701B"/>
    <w:rsid w:val="00217763"/>
    <w:rsid w:val="002219CC"/>
    <w:rsid w:val="00226F0C"/>
    <w:rsid w:val="002340F7"/>
    <w:rsid w:val="00246B7A"/>
    <w:rsid w:val="002773AD"/>
    <w:rsid w:val="002808B1"/>
    <w:rsid w:val="002832D1"/>
    <w:rsid w:val="002B21A3"/>
    <w:rsid w:val="002B562B"/>
    <w:rsid w:val="002B7690"/>
    <w:rsid w:val="002D7849"/>
    <w:rsid w:val="002F7234"/>
    <w:rsid w:val="00300C2D"/>
    <w:rsid w:val="00310E48"/>
    <w:rsid w:val="00313110"/>
    <w:rsid w:val="0031512A"/>
    <w:rsid w:val="003219FA"/>
    <w:rsid w:val="0034122C"/>
    <w:rsid w:val="00365D07"/>
    <w:rsid w:val="00385B4F"/>
    <w:rsid w:val="00397943"/>
    <w:rsid w:val="003A5A7C"/>
    <w:rsid w:val="003B7B77"/>
    <w:rsid w:val="003C566E"/>
    <w:rsid w:val="003C5AB2"/>
    <w:rsid w:val="003D121C"/>
    <w:rsid w:val="003E22C6"/>
    <w:rsid w:val="003F7AA6"/>
    <w:rsid w:val="003F7B51"/>
    <w:rsid w:val="00405F39"/>
    <w:rsid w:val="00412AA3"/>
    <w:rsid w:val="00414401"/>
    <w:rsid w:val="00420043"/>
    <w:rsid w:val="004302F0"/>
    <w:rsid w:val="004505A5"/>
    <w:rsid w:val="00451CB8"/>
    <w:rsid w:val="00470B35"/>
    <w:rsid w:val="00495F77"/>
    <w:rsid w:val="00497638"/>
    <w:rsid w:val="004A5084"/>
    <w:rsid w:val="004B42EB"/>
    <w:rsid w:val="004D08A3"/>
    <w:rsid w:val="005116B3"/>
    <w:rsid w:val="00522ED3"/>
    <w:rsid w:val="00523426"/>
    <w:rsid w:val="00530219"/>
    <w:rsid w:val="0053689A"/>
    <w:rsid w:val="00551D57"/>
    <w:rsid w:val="00553CED"/>
    <w:rsid w:val="0055459B"/>
    <w:rsid w:val="005578B4"/>
    <w:rsid w:val="005839D5"/>
    <w:rsid w:val="00587CBF"/>
    <w:rsid w:val="005A411A"/>
    <w:rsid w:val="005A5AF7"/>
    <w:rsid w:val="005B0306"/>
    <w:rsid w:val="005E7951"/>
    <w:rsid w:val="005F3753"/>
    <w:rsid w:val="006273FF"/>
    <w:rsid w:val="00677798"/>
    <w:rsid w:val="00692492"/>
    <w:rsid w:val="006A1C94"/>
    <w:rsid w:val="006B2500"/>
    <w:rsid w:val="006B4F54"/>
    <w:rsid w:val="006C56A7"/>
    <w:rsid w:val="00707131"/>
    <w:rsid w:val="007078A6"/>
    <w:rsid w:val="007110F5"/>
    <w:rsid w:val="00711C5A"/>
    <w:rsid w:val="007212C5"/>
    <w:rsid w:val="00724D84"/>
    <w:rsid w:val="007252BC"/>
    <w:rsid w:val="007361F5"/>
    <w:rsid w:val="00736CCD"/>
    <w:rsid w:val="007472FB"/>
    <w:rsid w:val="00756B4A"/>
    <w:rsid w:val="00765497"/>
    <w:rsid w:val="00772C2A"/>
    <w:rsid w:val="007827AD"/>
    <w:rsid w:val="00796F95"/>
    <w:rsid w:val="007A6D04"/>
    <w:rsid w:val="007F0288"/>
    <w:rsid w:val="008001C8"/>
    <w:rsid w:val="008232A4"/>
    <w:rsid w:val="00854E57"/>
    <w:rsid w:val="008A47DF"/>
    <w:rsid w:val="008B57F4"/>
    <w:rsid w:val="008D0A5C"/>
    <w:rsid w:val="008E7C77"/>
    <w:rsid w:val="008F0539"/>
    <w:rsid w:val="008F2D04"/>
    <w:rsid w:val="008F2D16"/>
    <w:rsid w:val="008F4276"/>
    <w:rsid w:val="0097397A"/>
    <w:rsid w:val="0097798B"/>
    <w:rsid w:val="00980809"/>
    <w:rsid w:val="00981F3C"/>
    <w:rsid w:val="00995E6F"/>
    <w:rsid w:val="009C6CAC"/>
    <w:rsid w:val="009E3519"/>
    <w:rsid w:val="009E5C02"/>
    <w:rsid w:val="009F5C5D"/>
    <w:rsid w:val="00A64F61"/>
    <w:rsid w:val="00A66EBB"/>
    <w:rsid w:val="00A8057A"/>
    <w:rsid w:val="00A86B79"/>
    <w:rsid w:val="00AA066C"/>
    <w:rsid w:val="00AD163D"/>
    <w:rsid w:val="00AD7C07"/>
    <w:rsid w:val="00AE7CB2"/>
    <w:rsid w:val="00B10929"/>
    <w:rsid w:val="00B14D48"/>
    <w:rsid w:val="00B16A33"/>
    <w:rsid w:val="00B308D9"/>
    <w:rsid w:val="00B66E64"/>
    <w:rsid w:val="00B84C2D"/>
    <w:rsid w:val="00B854DC"/>
    <w:rsid w:val="00B9725E"/>
    <w:rsid w:val="00BA44CD"/>
    <w:rsid w:val="00BA78A9"/>
    <w:rsid w:val="00BD05B8"/>
    <w:rsid w:val="00BF31A7"/>
    <w:rsid w:val="00C11EF3"/>
    <w:rsid w:val="00C208B6"/>
    <w:rsid w:val="00C34DBE"/>
    <w:rsid w:val="00C43AAB"/>
    <w:rsid w:val="00C477FA"/>
    <w:rsid w:val="00C5085F"/>
    <w:rsid w:val="00C61927"/>
    <w:rsid w:val="00C954ED"/>
    <w:rsid w:val="00CA12D4"/>
    <w:rsid w:val="00CC4051"/>
    <w:rsid w:val="00CD24B6"/>
    <w:rsid w:val="00D2012F"/>
    <w:rsid w:val="00D40A7C"/>
    <w:rsid w:val="00D40C7A"/>
    <w:rsid w:val="00D44B25"/>
    <w:rsid w:val="00D62D1E"/>
    <w:rsid w:val="00DB3017"/>
    <w:rsid w:val="00DB495A"/>
    <w:rsid w:val="00DC2659"/>
    <w:rsid w:val="00DC4630"/>
    <w:rsid w:val="00DC5D59"/>
    <w:rsid w:val="00DE1BF5"/>
    <w:rsid w:val="00DE5E22"/>
    <w:rsid w:val="00DE75D6"/>
    <w:rsid w:val="00E057EF"/>
    <w:rsid w:val="00E061C4"/>
    <w:rsid w:val="00E13E6D"/>
    <w:rsid w:val="00E15C46"/>
    <w:rsid w:val="00E217A5"/>
    <w:rsid w:val="00E22B9A"/>
    <w:rsid w:val="00E27CAD"/>
    <w:rsid w:val="00E27E36"/>
    <w:rsid w:val="00E37E23"/>
    <w:rsid w:val="00E5383D"/>
    <w:rsid w:val="00E6615C"/>
    <w:rsid w:val="00E67D13"/>
    <w:rsid w:val="00E7156B"/>
    <w:rsid w:val="00E92600"/>
    <w:rsid w:val="00EE5409"/>
    <w:rsid w:val="00EF3DAD"/>
    <w:rsid w:val="00F008FC"/>
    <w:rsid w:val="00F17C8D"/>
    <w:rsid w:val="00F33A96"/>
    <w:rsid w:val="00F433B5"/>
    <w:rsid w:val="00F563D7"/>
    <w:rsid w:val="00F61F20"/>
    <w:rsid w:val="00F62A64"/>
    <w:rsid w:val="00F63FE7"/>
    <w:rsid w:val="00F66DCA"/>
    <w:rsid w:val="00FB6B69"/>
    <w:rsid w:val="00FC03AD"/>
    <w:rsid w:val="00FC3F7A"/>
    <w:rsid w:val="00FE3FED"/>
    <w:rsid w:val="01AE1F8C"/>
    <w:rsid w:val="052359A2"/>
    <w:rsid w:val="09323BB3"/>
    <w:rsid w:val="0B4D54B2"/>
    <w:rsid w:val="0BFB6A40"/>
    <w:rsid w:val="0CD90967"/>
    <w:rsid w:val="0F4A4026"/>
    <w:rsid w:val="14936344"/>
    <w:rsid w:val="161C1592"/>
    <w:rsid w:val="16AB7089"/>
    <w:rsid w:val="17E4567E"/>
    <w:rsid w:val="1DFC5338"/>
    <w:rsid w:val="220C2BAC"/>
    <w:rsid w:val="2B99410A"/>
    <w:rsid w:val="2CB42B02"/>
    <w:rsid w:val="2D852691"/>
    <w:rsid w:val="304F07B2"/>
    <w:rsid w:val="3105245F"/>
    <w:rsid w:val="31C025A7"/>
    <w:rsid w:val="36A84FE5"/>
    <w:rsid w:val="3F234229"/>
    <w:rsid w:val="41195FA9"/>
    <w:rsid w:val="434B4F7A"/>
    <w:rsid w:val="444F34CF"/>
    <w:rsid w:val="45E23C1B"/>
    <w:rsid w:val="476829C9"/>
    <w:rsid w:val="4F2C3084"/>
    <w:rsid w:val="50371769"/>
    <w:rsid w:val="582D6BC3"/>
    <w:rsid w:val="5BF67375"/>
    <w:rsid w:val="5D8D689E"/>
    <w:rsid w:val="5D9A5E64"/>
    <w:rsid w:val="621A425E"/>
    <w:rsid w:val="67257690"/>
    <w:rsid w:val="67852372"/>
    <w:rsid w:val="69F13374"/>
    <w:rsid w:val="6D2F0C5F"/>
    <w:rsid w:val="71AB31C9"/>
    <w:rsid w:val="71C07714"/>
    <w:rsid w:val="72F41D9F"/>
    <w:rsid w:val="7883456D"/>
    <w:rsid w:val="79FD2325"/>
    <w:rsid w:val="7DDB0537"/>
    <w:rsid w:val="7E0661D0"/>
    <w:rsid w:val="7FD528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qFormat="1" w:unhideWhenUsed="0" w:uiPriority="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5"/>
    <w:qFormat/>
    <w:uiPriority w:val="99"/>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4">
    <w:name w:val="heading 3"/>
    <w:basedOn w:val="1"/>
    <w:next w:val="1"/>
    <w:link w:val="58"/>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7">
    <w:name w:val="Default Paragraph Font"/>
    <w:unhideWhenUsed/>
    <w:uiPriority w:val="1"/>
  </w:style>
  <w:style w:type="table" w:default="1" w:styleId="21">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本文正文"/>
    <w:basedOn w:val="1"/>
    <w:qFormat/>
    <w:uiPriority w:val="0"/>
    <w:pPr>
      <w:spacing w:line="480" w:lineRule="exact"/>
    </w:pPr>
    <w:rPr>
      <w:sz w:val="24"/>
    </w:rPr>
  </w:style>
  <w:style w:type="paragraph" w:styleId="5">
    <w:name w:val="annotation subject"/>
    <w:basedOn w:val="6"/>
    <w:next w:val="6"/>
    <w:link w:val="33"/>
    <w:semiHidden/>
    <w:qFormat/>
    <w:uiPriority w:val="0"/>
    <w:rPr>
      <w:b/>
    </w:rPr>
  </w:style>
  <w:style w:type="paragraph" w:styleId="6">
    <w:name w:val="annotation text"/>
    <w:basedOn w:val="1"/>
    <w:link w:val="26"/>
    <w:semiHidden/>
    <w:qFormat/>
    <w:uiPriority w:val="0"/>
    <w:pPr>
      <w:jc w:val="left"/>
    </w:pPr>
    <w:rPr>
      <w:rFonts w:ascii="Times New Roman" w:hAnsi="Times New Roman" w:eastAsia="宋体" w:cs="Times New Roman"/>
      <w:kern w:val="0"/>
      <w:sz w:val="24"/>
      <w:szCs w:val="20"/>
    </w:rPr>
  </w:style>
  <w:style w:type="paragraph" w:styleId="7">
    <w:name w:val="Normal Indent"/>
    <w:basedOn w:val="1"/>
    <w:next w:val="1"/>
    <w:qFormat/>
    <w:uiPriority w:val="99"/>
    <w:pPr>
      <w:ind w:firstLine="420" w:firstLineChars="200"/>
    </w:pPr>
    <w:rPr>
      <w:rFonts w:ascii="宋体" w:hAnsi="宋体" w:eastAsia="宋体" w:cs="Times New Roman"/>
      <w:sz w:val="28"/>
      <w:szCs w:val="24"/>
    </w:rPr>
  </w:style>
  <w:style w:type="paragraph" w:styleId="8">
    <w:name w:val="Body Text"/>
    <w:basedOn w:val="1"/>
    <w:link w:val="27"/>
    <w:qFormat/>
    <w:uiPriority w:val="0"/>
    <w:pPr>
      <w:widowControl/>
      <w:snapToGrid w:val="0"/>
      <w:spacing w:before="60" w:after="160" w:line="259" w:lineRule="auto"/>
      <w:ind w:right="113"/>
    </w:pPr>
    <w:rPr>
      <w:rFonts w:ascii="Times New Roman" w:hAnsi="Times New Roman" w:eastAsia="宋体" w:cs="Times New Roman"/>
      <w:kern w:val="0"/>
      <w:sz w:val="18"/>
      <w:szCs w:val="20"/>
    </w:rPr>
  </w:style>
  <w:style w:type="paragraph" w:styleId="9">
    <w:name w:val="Body Text Indent"/>
    <w:basedOn w:val="1"/>
    <w:link w:val="28"/>
    <w:qFormat/>
    <w:uiPriority w:val="0"/>
    <w:pPr>
      <w:spacing w:after="120"/>
      <w:ind w:left="420" w:leftChars="200"/>
    </w:pPr>
    <w:rPr>
      <w:rFonts w:ascii="Times New Roman" w:hAnsi="Times New Roman" w:eastAsia="宋体" w:cs="Times New Roman"/>
      <w:kern w:val="0"/>
      <w:sz w:val="24"/>
      <w:szCs w:val="20"/>
    </w:rPr>
  </w:style>
  <w:style w:type="paragraph" w:styleId="10">
    <w:name w:val="Plain Text"/>
    <w:basedOn w:val="1"/>
    <w:next w:val="11"/>
    <w:link w:val="29"/>
    <w:qFormat/>
    <w:uiPriority w:val="0"/>
    <w:rPr>
      <w:rFonts w:ascii="宋体" w:hAnsi="Courier New" w:eastAsia="宋体" w:cs="Times New Roman"/>
      <w:szCs w:val="20"/>
    </w:rPr>
  </w:style>
  <w:style w:type="paragraph" w:styleId="11">
    <w:name w:val="toc 1"/>
    <w:basedOn w:val="1"/>
    <w:next w:val="1"/>
    <w:qFormat/>
    <w:uiPriority w:val="0"/>
    <w:pPr>
      <w:tabs>
        <w:tab w:val="right" w:leader="dot" w:pos="8302"/>
      </w:tabs>
      <w:spacing w:line="500" w:lineRule="exact"/>
      <w:jc w:val="center"/>
    </w:pPr>
    <w:rPr>
      <w:rFonts w:ascii="宋体" w:hAnsi="宋体" w:eastAsia="宋体" w:cs="Times New Roman"/>
      <w:color w:val="000000"/>
      <w:sz w:val="24"/>
      <w:szCs w:val="24"/>
    </w:rPr>
  </w:style>
  <w:style w:type="paragraph" w:styleId="12">
    <w:name w:val="Date"/>
    <w:basedOn w:val="1"/>
    <w:next w:val="1"/>
    <w:link w:val="30"/>
    <w:qFormat/>
    <w:uiPriority w:val="0"/>
    <w:pPr>
      <w:ind w:left="100" w:leftChars="2500"/>
    </w:pPr>
    <w:rPr>
      <w:rFonts w:ascii="Times New Roman" w:hAnsi="Times New Roman" w:eastAsia="宋体" w:cs="Times New Roman"/>
      <w:kern w:val="0"/>
      <w:sz w:val="24"/>
      <w:szCs w:val="20"/>
    </w:rPr>
  </w:style>
  <w:style w:type="paragraph" w:styleId="13">
    <w:name w:val="Balloon Text"/>
    <w:basedOn w:val="1"/>
    <w:link w:val="31"/>
    <w:semiHidden/>
    <w:qFormat/>
    <w:uiPriority w:val="0"/>
    <w:rPr>
      <w:rFonts w:ascii="Times New Roman" w:hAnsi="Times New Roman" w:eastAsia="宋体" w:cs="Times New Roman"/>
      <w:kern w:val="0"/>
      <w:sz w:val="18"/>
      <w:szCs w:val="20"/>
    </w:rPr>
  </w:style>
  <w:style w:type="paragraph" w:styleId="14">
    <w:name w:val="footer"/>
    <w:basedOn w:val="1"/>
    <w:link w:val="24"/>
    <w:unhideWhenUsed/>
    <w:qFormat/>
    <w:uiPriority w:val="99"/>
    <w:pPr>
      <w:tabs>
        <w:tab w:val="center" w:pos="4153"/>
        <w:tab w:val="right" w:pos="8306"/>
      </w:tabs>
      <w:snapToGrid w:val="0"/>
      <w:jc w:val="left"/>
    </w:pPr>
    <w:rPr>
      <w:sz w:val="18"/>
      <w:szCs w:val="18"/>
    </w:rPr>
  </w:style>
  <w:style w:type="paragraph" w:styleId="15">
    <w:name w:val="header"/>
    <w:basedOn w:val="1"/>
    <w:link w:val="23"/>
    <w:unhideWhenUsed/>
    <w:qFormat/>
    <w:uiPriority w:val="0"/>
    <w:pPr>
      <w:pBdr>
        <w:bottom w:val="single" w:color="auto" w:sz="6" w:space="1"/>
      </w:pBdr>
      <w:tabs>
        <w:tab w:val="center" w:pos="4153"/>
        <w:tab w:val="right" w:pos="8306"/>
      </w:tabs>
      <w:snapToGrid w:val="0"/>
      <w:jc w:val="center"/>
    </w:pPr>
    <w:rPr>
      <w:sz w:val="18"/>
      <w:szCs w:val="18"/>
    </w:rPr>
  </w:style>
  <w:style w:type="paragraph" w:styleId="16">
    <w:name w:val="Normal (Web)"/>
    <w:basedOn w:val="1"/>
    <w:link w:val="32"/>
    <w:qFormat/>
    <w:uiPriority w:val="0"/>
    <w:pPr>
      <w:widowControl/>
      <w:spacing w:before="100" w:beforeAutospacing="1" w:after="100" w:afterAutospacing="1"/>
      <w:jc w:val="left"/>
    </w:pPr>
    <w:rPr>
      <w:rFonts w:ascii="宋体" w:hAnsi="宋体" w:eastAsia="宋体" w:cs="Times New Roman"/>
      <w:kern w:val="0"/>
      <w:sz w:val="24"/>
      <w:szCs w:val="20"/>
    </w:rPr>
  </w:style>
  <w:style w:type="character" w:styleId="18">
    <w:name w:val="page number"/>
    <w:basedOn w:val="17"/>
    <w:qFormat/>
    <w:uiPriority w:val="0"/>
  </w:style>
  <w:style w:type="character" w:styleId="19">
    <w:name w:val="Hyperlink"/>
    <w:basedOn w:val="17"/>
    <w:qFormat/>
    <w:uiPriority w:val="0"/>
    <w:rPr>
      <w:color w:val="0000FF"/>
      <w:u w:val="single"/>
    </w:rPr>
  </w:style>
  <w:style w:type="character" w:styleId="20">
    <w:name w:val="annotation reference"/>
    <w:semiHidden/>
    <w:qFormat/>
    <w:uiPriority w:val="0"/>
    <w:rPr>
      <w:sz w:val="21"/>
    </w:rPr>
  </w:style>
  <w:style w:type="table" w:styleId="22">
    <w:name w:val="Table Grid"/>
    <w:basedOn w:val="21"/>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3">
    <w:name w:val="页眉 Char"/>
    <w:basedOn w:val="17"/>
    <w:link w:val="15"/>
    <w:qFormat/>
    <w:uiPriority w:val="0"/>
    <w:rPr>
      <w:sz w:val="18"/>
      <w:szCs w:val="18"/>
    </w:rPr>
  </w:style>
  <w:style w:type="character" w:customStyle="1" w:styleId="24">
    <w:name w:val="页脚 Char"/>
    <w:basedOn w:val="17"/>
    <w:link w:val="14"/>
    <w:qFormat/>
    <w:uiPriority w:val="99"/>
    <w:rPr>
      <w:sz w:val="18"/>
      <w:szCs w:val="18"/>
    </w:rPr>
  </w:style>
  <w:style w:type="character" w:customStyle="1" w:styleId="25">
    <w:name w:val="标题 1 Char"/>
    <w:basedOn w:val="17"/>
    <w:link w:val="3"/>
    <w:qFormat/>
    <w:uiPriority w:val="99"/>
    <w:rPr>
      <w:rFonts w:ascii="Times New Roman" w:hAnsi="Times New Roman" w:eastAsia="黑体" w:cs="Times New Roman"/>
      <w:b/>
      <w:bCs/>
      <w:color w:val="000000"/>
      <w:kern w:val="44"/>
      <w:sz w:val="30"/>
      <w:szCs w:val="30"/>
    </w:rPr>
  </w:style>
  <w:style w:type="character" w:customStyle="1" w:styleId="26">
    <w:name w:val="批注文字 Char"/>
    <w:basedOn w:val="17"/>
    <w:link w:val="6"/>
    <w:qFormat/>
    <w:uiPriority w:val="0"/>
    <w:rPr>
      <w:rFonts w:ascii="Times New Roman" w:hAnsi="Times New Roman" w:eastAsia="宋体" w:cs="Times New Roman"/>
      <w:kern w:val="0"/>
      <w:sz w:val="24"/>
      <w:szCs w:val="20"/>
    </w:rPr>
  </w:style>
  <w:style w:type="character" w:customStyle="1" w:styleId="27">
    <w:name w:val="正文文本 Char"/>
    <w:basedOn w:val="17"/>
    <w:link w:val="8"/>
    <w:qFormat/>
    <w:uiPriority w:val="0"/>
    <w:rPr>
      <w:rFonts w:ascii="Times New Roman" w:hAnsi="Times New Roman" w:eastAsia="宋体" w:cs="Times New Roman"/>
      <w:kern w:val="0"/>
      <w:sz w:val="18"/>
      <w:szCs w:val="20"/>
    </w:rPr>
  </w:style>
  <w:style w:type="character" w:customStyle="1" w:styleId="28">
    <w:name w:val="正文文本缩进 Char"/>
    <w:basedOn w:val="17"/>
    <w:link w:val="9"/>
    <w:qFormat/>
    <w:uiPriority w:val="0"/>
    <w:rPr>
      <w:rFonts w:ascii="Times New Roman" w:hAnsi="Times New Roman" w:eastAsia="宋体" w:cs="Times New Roman"/>
      <w:kern w:val="0"/>
      <w:sz w:val="24"/>
      <w:szCs w:val="20"/>
    </w:rPr>
  </w:style>
  <w:style w:type="character" w:customStyle="1" w:styleId="29">
    <w:name w:val="纯文本 Char"/>
    <w:basedOn w:val="17"/>
    <w:link w:val="10"/>
    <w:qFormat/>
    <w:uiPriority w:val="0"/>
    <w:rPr>
      <w:rFonts w:ascii="宋体" w:hAnsi="Courier New" w:eastAsia="宋体" w:cs="Times New Roman"/>
      <w:szCs w:val="20"/>
    </w:rPr>
  </w:style>
  <w:style w:type="character" w:customStyle="1" w:styleId="30">
    <w:name w:val="日期 Char"/>
    <w:basedOn w:val="17"/>
    <w:link w:val="12"/>
    <w:qFormat/>
    <w:uiPriority w:val="0"/>
    <w:rPr>
      <w:rFonts w:ascii="Times New Roman" w:hAnsi="Times New Roman" w:eastAsia="宋体" w:cs="Times New Roman"/>
      <w:kern w:val="0"/>
      <w:sz w:val="24"/>
      <w:szCs w:val="20"/>
    </w:rPr>
  </w:style>
  <w:style w:type="character" w:customStyle="1" w:styleId="31">
    <w:name w:val="批注框文本 Char"/>
    <w:basedOn w:val="17"/>
    <w:link w:val="13"/>
    <w:semiHidden/>
    <w:qFormat/>
    <w:uiPriority w:val="0"/>
    <w:rPr>
      <w:rFonts w:ascii="Times New Roman" w:hAnsi="Times New Roman" w:eastAsia="宋体" w:cs="Times New Roman"/>
      <w:kern w:val="0"/>
      <w:sz w:val="18"/>
      <w:szCs w:val="20"/>
    </w:rPr>
  </w:style>
  <w:style w:type="character" w:customStyle="1" w:styleId="32">
    <w:name w:val="普通(网站) Char"/>
    <w:link w:val="16"/>
    <w:qFormat/>
    <w:locked/>
    <w:uiPriority w:val="0"/>
    <w:rPr>
      <w:rFonts w:ascii="宋体" w:hAnsi="宋体" w:eastAsia="宋体" w:cs="Times New Roman"/>
      <w:kern w:val="0"/>
      <w:sz w:val="24"/>
      <w:szCs w:val="20"/>
    </w:rPr>
  </w:style>
  <w:style w:type="character" w:customStyle="1" w:styleId="33">
    <w:name w:val="批注主题 Char"/>
    <w:basedOn w:val="26"/>
    <w:link w:val="5"/>
    <w:semiHidden/>
    <w:qFormat/>
    <w:uiPriority w:val="0"/>
    <w:rPr>
      <w:rFonts w:ascii="Times New Roman" w:hAnsi="Times New Roman" w:eastAsia="宋体" w:cs="Times New Roman"/>
      <w:b/>
      <w:kern w:val="0"/>
      <w:sz w:val="24"/>
      <w:szCs w:val="20"/>
    </w:rPr>
  </w:style>
  <w:style w:type="paragraph" w:customStyle="1" w:styleId="34">
    <w:name w:val="样式2"/>
    <w:basedOn w:val="1"/>
    <w:qFormat/>
    <w:uiPriority w:val="0"/>
    <w:rPr>
      <w:rFonts w:ascii="Times New Roman" w:hAnsi="Times New Roman" w:eastAsia="宋体" w:cs="Times New Roman"/>
      <w:szCs w:val="24"/>
    </w:rPr>
  </w:style>
  <w:style w:type="character" w:customStyle="1" w:styleId="35">
    <w:name w:val="页脚 字符"/>
    <w:basedOn w:val="17"/>
    <w:qFormat/>
    <w:uiPriority w:val="99"/>
  </w:style>
  <w:style w:type="character" w:customStyle="1" w:styleId="36">
    <w:name w:val="表格 Char"/>
    <w:link w:val="37"/>
    <w:qFormat/>
    <w:locked/>
    <w:uiPriority w:val="0"/>
    <w:rPr>
      <w:rFonts w:ascii="宋体"/>
    </w:rPr>
  </w:style>
  <w:style w:type="paragraph" w:customStyle="1" w:styleId="37">
    <w:name w:val="表格"/>
    <w:basedOn w:val="10"/>
    <w:next w:val="1"/>
    <w:link w:val="36"/>
    <w:qFormat/>
    <w:uiPriority w:val="0"/>
    <w:pPr>
      <w:adjustRightInd w:val="0"/>
      <w:snapToGrid w:val="0"/>
      <w:spacing w:beforeLines="10" w:afterLines="10" w:line="259" w:lineRule="auto"/>
      <w:jc w:val="center"/>
    </w:pPr>
    <w:rPr>
      <w:rFonts w:hAnsiTheme="minorHAnsi" w:eastAsiaTheme="minorEastAsia" w:cstheme="minorBidi"/>
      <w:szCs w:val="22"/>
    </w:rPr>
  </w:style>
  <w:style w:type="character" w:customStyle="1" w:styleId="38">
    <w:name w:val="正文文本 字符1"/>
    <w:semiHidden/>
    <w:qFormat/>
    <w:uiPriority w:val="0"/>
    <w:rPr>
      <w:rFonts w:ascii="Times New Roman" w:hAnsi="Times New Roman" w:eastAsia="宋体"/>
      <w:sz w:val="24"/>
    </w:rPr>
  </w:style>
  <w:style w:type="character" w:customStyle="1" w:styleId="39">
    <w:name w:val="批注文字 字符1"/>
    <w:semiHidden/>
    <w:qFormat/>
    <w:uiPriority w:val="0"/>
    <w:rPr>
      <w:rFonts w:ascii="Times New Roman" w:hAnsi="Times New Roman" w:eastAsia="宋体"/>
      <w:sz w:val="24"/>
    </w:rPr>
  </w:style>
  <w:style w:type="character" w:customStyle="1" w:styleId="40">
    <w:name w:val="NormalCharacter"/>
    <w:qFormat/>
    <w:uiPriority w:val="0"/>
  </w:style>
  <w:style w:type="character" w:customStyle="1" w:styleId="41">
    <w:name w:val="日期 字符"/>
    <w:semiHidden/>
    <w:qFormat/>
    <w:uiPriority w:val="0"/>
    <w:rPr>
      <w:rFonts w:ascii="Times New Roman" w:hAnsi="Times New Roman" w:eastAsia="宋体"/>
      <w:sz w:val="24"/>
    </w:rPr>
  </w:style>
  <w:style w:type="paragraph" w:customStyle="1" w:styleId="42">
    <w:name w:val="居中表格文字"/>
    <w:basedOn w:val="43"/>
    <w:next w:val="43"/>
    <w:qFormat/>
    <w:uiPriority w:val="0"/>
    <w:pPr>
      <w:spacing w:line="240" w:lineRule="auto"/>
      <w:ind w:firstLine="0" w:firstLineChars="0"/>
      <w:jc w:val="center"/>
    </w:pPr>
    <w:rPr>
      <w:sz w:val="21"/>
    </w:rPr>
  </w:style>
  <w:style w:type="paragraph" w:customStyle="1" w:styleId="43">
    <w:name w:val="报告表正文"/>
    <w:basedOn w:val="44"/>
    <w:qFormat/>
    <w:uiPriority w:val="0"/>
    <w:pPr>
      <w:topLinePunct/>
      <w:spacing w:line="360" w:lineRule="auto"/>
    </w:pPr>
    <w:rPr>
      <w:rFonts w:ascii="Times New Roman" w:hAnsi="Times New Roman"/>
      <w:bCs/>
      <w:sz w:val="24"/>
    </w:rPr>
  </w:style>
  <w:style w:type="paragraph" w:customStyle="1" w:styleId="44">
    <w:name w:val="报告正文"/>
    <w:basedOn w:val="1"/>
    <w:qFormat/>
    <w:uiPriority w:val="0"/>
    <w:pPr>
      <w:spacing w:line="560" w:lineRule="exact"/>
      <w:ind w:firstLine="200" w:firstLineChars="200"/>
    </w:pPr>
    <w:rPr>
      <w:rFonts w:ascii="宋体" w:hAnsi="宋体" w:eastAsia="宋体" w:cs="宋体"/>
      <w:sz w:val="28"/>
      <w:szCs w:val="20"/>
    </w:rPr>
  </w:style>
  <w:style w:type="paragraph" w:customStyle="1" w:styleId="4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6">
    <w:name w:val="26磅正文"/>
    <w:basedOn w:val="1"/>
    <w:qFormat/>
    <w:uiPriority w:val="0"/>
    <w:pPr>
      <w:spacing w:line="520" w:lineRule="exact"/>
      <w:ind w:firstLine="480" w:firstLineChars="200"/>
    </w:pPr>
    <w:rPr>
      <w:rFonts w:ascii="宋体" w:hAnsi="宋体" w:eastAsia="宋体" w:cs="Times New Roman"/>
      <w:color w:val="000000"/>
      <w:sz w:val="24"/>
      <w:szCs w:val="24"/>
    </w:rPr>
  </w:style>
  <w:style w:type="paragraph" w:customStyle="1" w:styleId="47">
    <w:name w:val="表格文字"/>
    <w:basedOn w:val="1"/>
    <w:next w:val="1"/>
    <w:qFormat/>
    <w:uiPriority w:val="0"/>
    <w:pPr>
      <w:jc w:val="center"/>
    </w:pPr>
    <w:rPr>
      <w:rFonts w:ascii="仿宋_GB2312" w:hAnsi="Arial Black" w:eastAsia="仿宋_GB2312" w:cs="Times New Roman"/>
      <w:kern w:val="44"/>
      <w:sz w:val="24"/>
      <w:szCs w:val="24"/>
    </w:rPr>
  </w:style>
  <w:style w:type="paragraph" w:customStyle="1" w:styleId="48">
    <w:name w:val="普通(网站)2"/>
    <w:basedOn w:val="1"/>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49">
    <w:name w:val="HtmlNormal"/>
    <w:basedOn w:val="1"/>
    <w:qFormat/>
    <w:uiPriority w:val="0"/>
    <w:pPr>
      <w:spacing w:before="100" w:beforeAutospacing="1" w:after="100" w:afterAutospacing="1"/>
      <w:jc w:val="left"/>
    </w:pPr>
    <w:rPr>
      <w:rFonts w:ascii="宋体" w:hAnsi="宋体" w:eastAsia="宋体" w:cs="Times New Roman"/>
      <w:kern w:val="0"/>
      <w:sz w:val="24"/>
      <w:szCs w:val="24"/>
    </w:rPr>
  </w:style>
  <w:style w:type="paragraph" w:customStyle="1" w:styleId="50">
    <w:name w:val="正文_4"/>
    <w:qFormat/>
    <w:uiPriority w:val="0"/>
    <w:pPr>
      <w:widowControl w:val="0"/>
      <w:jc w:val="both"/>
    </w:pPr>
    <w:rPr>
      <w:rFonts w:ascii="Calibri" w:hAnsi="Calibri" w:eastAsia="宋体" w:cs="Times New Roman"/>
      <w:kern w:val="2"/>
      <w:sz w:val="21"/>
      <w:szCs w:val="20"/>
      <w:lang w:val="en-US" w:eastAsia="zh-CN" w:bidi="ar-SA"/>
    </w:rPr>
  </w:style>
  <w:style w:type="paragraph" w:customStyle="1" w:styleId="51">
    <w:name w:val="Default"/>
    <w:next w:val="47"/>
    <w:qFormat/>
    <w:uiPriority w:val="0"/>
    <w:pPr>
      <w:widowControl w:val="0"/>
      <w:autoSpaceDE w:val="0"/>
      <w:autoSpaceDN w:val="0"/>
      <w:adjustRightInd w:val="0"/>
    </w:pPr>
    <w:rPr>
      <w:rFonts w:ascii="Calibri" w:hAnsi="Calibri" w:eastAsia="宋体" w:cs="Times New Roman"/>
      <w:snapToGrid w:val="0"/>
      <w:color w:val="000000"/>
      <w:kern w:val="0"/>
      <w:sz w:val="24"/>
      <w:szCs w:val="24"/>
      <w:lang w:val="en-US" w:eastAsia="zh-CN" w:bidi="ar-SA"/>
    </w:rPr>
  </w:style>
  <w:style w:type="paragraph" w:customStyle="1" w:styleId="52">
    <w:name w:val="表格标题"/>
    <w:basedOn w:val="1"/>
    <w:qFormat/>
    <w:uiPriority w:val="0"/>
    <w:pPr>
      <w:spacing w:before="120" w:line="320" w:lineRule="atLeast"/>
      <w:jc w:val="center"/>
    </w:pPr>
    <w:rPr>
      <w:rFonts w:ascii="Times New Roman" w:hAnsi="Times New Roman" w:eastAsia="宋体" w:cs="Times New Roman"/>
      <w:szCs w:val="24"/>
    </w:rPr>
  </w:style>
  <w:style w:type="paragraph" w:customStyle="1" w:styleId="53">
    <w:name w:val="Table Paragraph"/>
    <w:basedOn w:val="1"/>
    <w:qFormat/>
    <w:uiPriority w:val="1"/>
    <w:pPr>
      <w:autoSpaceDE w:val="0"/>
      <w:autoSpaceDN w:val="0"/>
      <w:jc w:val="left"/>
    </w:pPr>
    <w:rPr>
      <w:rFonts w:ascii="宋体" w:hAnsi="宋体" w:eastAsia="宋体" w:cs="宋体"/>
      <w:kern w:val="0"/>
      <w:sz w:val="22"/>
      <w:lang w:val="zh-CN" w:bidi="zh-CN"/>
    </w:rPr>
  </w:style>
  <w:style w:type="character" w:customStyle="1" w:styleId="54">
    <w:name w:val="表格内容 Char1"/>
    <w:link w:val="55"/>
    <w:qFormat/>
    <w:uiPriority w:val="0"/>
    <w:rPr>
      <w:color w:val="000000"/>
      <w:szCs w:val="28"/>
    </w:rPr>
  </w:style>
  <w:style w:type="paragraph" w:customStyle="1" w:styleId="55">
    <w:name w:val="表格内容"/>
    <w:basedOn w:val="1"/>
    <w:next w:val="1"/>
    <w:link w:val="54"/>
    <w:qFormat/>
    <w:uiPriority w:val="0"/>
    <w:pPr>
      <w:jc w:val="center"/>
    </w:pPr>
    <w:rPr>
      <w:color w:val="000000"/>
      <w:szCs w:val="28"/>
    </w:rPr>
  </w:style>
  <w:style w:type="character" w:customStyle="1" w:styleId="56">
    <w:name w:val="表格字体 Char"/>
    <w:link w:val="57"/>
    <w:qFormat/>
    <w:uiPriority w:val="0"/>
    <w:rPr>
      <w:color w:val="000000"/>
      <w:szCs w:val="20"/>
    </w:rPr>
  </w:style>
  <w:style w:type="paragraph" w:customStyle="1" w:styleId="57">
    <w:name w:val="表格字体"/>
    <w:basedOn w:val="1"/>
    <w:link w:val="56"/>
    <w:qFormat/>
    <w:uiPriority w:val="0"/>
    <w:pPr>
      <w:adjustRightInd w:val="0"/>
      <w:spacing w:line="320" w:lineRule="exact"/>
      <w:ind w:firstLine="640" w:firstLineChars="200"/>
      <w:jc w:val="center"/>
    </w:pPr>
    <w:rPr>
      <w:color w:val="000000"/>
      <w:szCs w:val="20"/>
    </w:rPr>
  </w:style>
  <w:style w:type="character" w:customStyle="1" w:styleId="58">
    <w:name w:val="标题 3 Char"/>
    <w:basedOn w:val="17"/>
    <w:link w:val="4"/>
    <w:qFormat/>
    <w:uiPriority w:val="0"/>
    <w:rPr>
      <w:rFonts w:ascii="Times New Roman" w:hAnsi="Times New Roman" w:eastAsia="宋体" w:cs="Times New Roman"/>
      <w:b/>
      <w:bCs/>
      <w:sz w:val="32"/>
      <w:szCs w:val="32"/>
    </w:rPr>
  </w:style>
  <w:style w:type="table" w:customStyle="1" w:styleId="59">
    <w:name w:val="网格型3"/>
    <w:basedOn w:val="21"/>
    <w:qFormat/>
    <w:uiPriority w:val="0"/>
    <w:rPr>
      <w:rFonts w:ascii="Calibri" w:hAnsi="Calibri" w:eastAsia="宋体" w:cs="Calibri"/>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8" Type="http://schemas.openxmlformats.org/officeDocument/2006/relationships/fontTable" Target="fontTable.xml"/><Relationship Id="rId87" Type="http://schemas.openxmlformats.org/officeDocument/2006/relationships/customXml" Target="../customXml/item2.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63.jpeg"/><Relationship Id="rId83" Type="http://schemas.openxmlformats.org/officeDocument/2006/relationships/image" Target="media/image62.jpe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image" Target="media/image4.jpeg"/><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jpeg"/><Relationship Id="rId7" Type="http://schemas.openxmlformats.org/officeDocument/2006/relationships/image" Target="media/image3.jpeg"/><Relationship Id="rId69" Type="http://schemas.openxmlformats.org/officeDocument/2006/relationships/image" Target="media/image48.jpeg"/><Relationship Id="rId68" Type="http://schemas.openxmlformats.org/officeDocument/2006/relationships/image" Target="media/image47.jpeg"/><Relationship Id="rId67" Type="http://schemas.openxmlformats.org/officeDocument/2006/relationships/image" Target="media/image46.jpe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jpeg"/><Relationship Id="rId61" Type="http://schemas.openxmlformats.org/officeDocument/2006/relationships/image" Target="media/image40.jpeg"/><Relationship Id="rId60" Type="http://schemas.openxmlformats.org/officeDocument/2006/relationships/image" Target="media/image39.jpeg"/><Relationship Id="rId6" Type="http://schemas.openxmlformats.org/officeDocument/2006/relationships/image" Target="media/image2.jpeg"/><Relationship Id="rId59" Type="http://schemas.openxmlformats.org/officeDocument/2006/relationships/image" Target="media/image38.jpeg"/><Relationship Id="rId58" Type="http://schemas.openxmlformats.org/officeDocument/2006/relationships/image" Target="media/image37.jpe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jpeg"/><Relationship Id="rId53" Type="http://schemas.openxmlformats.org/officeDocument/2006/relationships/image" Target="media/image32.jpeg"/><Relationship Id="rId52" Type="http://schemas.openxmlformats.org/officeDocument/2006/relationships/image" Target="media/image31.jpeg"/><Relationship Id="rId51" Type="http://schemas.openxmlformats.org/officeDocument/2006/relationships/image" Target="media/image30.jpeg"/><Relationship Id="rId50" Type="http://schemas.openxmlformats.org/officeDocument/2006/relationships/image" Target="media/image29.jpeg"/><Relationship Id="rId5" Type="http://schemas.openxmlformats.org/officeDocument/2006/relationships/image" Target="media/image1.jpeg"/><Relationship Id="rId49" Type="http://schemas.openxmlformats.org/officeDocument/2006/relationships/image" Target="media/image28.jpe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png"/><Relationship Id="rId45" Type="http://schemas.openxmlformats.org/officeDocument/2006/relationships/image" Target="media/image24.jpe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jpeg"/><Relationship Id="rId4" Type="http://schemas.openxmlformats.org/officeDocument/2006/relationships/theme" Target="theme/theme1.xml"/><Relationship Id="rId39" Type="http://schemas.openxmlformats.org/officeDocument/2006/relationships/image" Target="media/image18.emf"/><Relationship Id="rId38" Type="http://schemas.openxmlformats.org/officeDocument/2006/relationships/oleObject" Target="embeddings/oleObject17.bin"/><Relationship Id="rId37" Type="http://schemas.openxmlformats.org/officeDocument/2006/relationships/image" Target="media/image17.emf"/><Relationship Id="rId36" Type="http://schemas.openxmlformats.org/officeDocument/2006/relationships/oleObject" Target="embeddings/oleObject16.bin"/><Relationship Id="rId35" Type="http://schemas.openxmlformats.org/officeDocument/2006/relationships/image" Target="media/image16.emf"/><Relationship Id="rId34" Type="http://schemas.openxmlformats.org/officeDocument/2006/relationships/oleObject" Target="embeddings/oleObject15.bin"/><Relationship Id="rId33" Type="http://schemas.openxmlformats.org/officeDocument/2006/relationships/image" Target="media/image15.emf"/><Relationship Id="rId32" Type="http://schemas.openxmlformats.org/officeDocument/2006/relationships/oleObject" Target="embeddings/oleObject14.bin"/><Relationship Id="rId31" Type="http://schemas.openxmlformats.org/officeDocument/2006/relationships/oleObject" Target="embeddings/oleObject13.bin"/><Relationship Id="rId30" Type="http://schemas.openxmlformats.org/officeDocument/2006/relationships/oleObject" Target="embeddings/oleObject12.bin"/><Relationship Id="rId3" Type="http://schemas.openxmlformats.org/officeDocument/2006/relationships/footer" Target="footer1.xml"/><Relationship Id="rId29" Type="http://schemas.openxmlformats.org/officeDocument/2006/relationships/oleObject" Target="embeddings/oleObject11.bin"/><Relationship Id="rId28" Type="http://schemas.openxmlformats.org/officeDocument/2006/relationships/oleObject" Target="embeddings/oleObject10.bin"/><Relationship Id="rId27" Type="http://schemas.openxmlformats.org/officeDocument/2006/relationships/oleObject" Target="embeddings/oleObject9.bin"/><Relationship Id="rId26" Type="http://schemas.openxmlformats.org/officeDocument/2006/relationships/oleObject" Target="embeddings/oleObject8.bin"/><Relationship Id="rId25" Type="http://schemas.openxmlformats.org/officeDocument/2006/relationships/image" Target="media/image14.wmf"/><Relationship Id="rId24" Type="http://schemas.openxmlformats.org/officeDocument/2006/relationships/oleObject" Target="embeddings/oleObject7.bin"/><Relationship Id="rId23" Type="http://schemas.openxmlformats.org/officeDocument/2006/relationships/image" Target="media/image13.wmf"/><Relationship Id="rId22" Type="http://schemas.openxmlformats.org/officeDocument/2006/relationships/oleObject" Target="embeddings/oleObject6.bin"/><Relationship Id="rId21" Type="http://schemas.openxmlformats.org/officeDocument/2006/relationships/image" Target="media/image12.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4.bin"/><Relationship Id="rId17" Type="http://schemas.openxmlformats.org/officeDocument/2006/relationships/image" Target="media/image10.wmf"/><Relationship Id="rId16" Type="http://schemas.openxmlformats.org/officeDocument/2006/relationships/oleObject" Target="embeddings/oleObject3.bin"/><Relationship Id="rId15" Type="http://schemas.openxmlformats.org/officeDocument/2006/relationships/image" Target="media/image9.wmf"/><Relationship Id="rId14" Type="http://schemas.openxmlformats.org/officeDocument/2006/relationships/oleObject" Target="embeddings/oleObject2.bin"/><Relationship Id="rId13" Type="http://schemas.openxmlformats.org/officeDocument/2006/relationships/image" Target="media/image8.png"/><Relationship Id="rId12" Type="http://schemas.openxmlformats.org/officeDocument/2006/relationships/image" Target="media/image7.emf"/><Relationship Id="rId11" Type="http://schemas.openxmlformats.org/officeDocument/2006/relationships/oleObject" Target="embeddings/oleObject1.bin"/><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64"/>
    <customShpInfo spid="_x0000_s1026" textRotate="1"/>
    <customShpInfo spid="_x0000_s1045"/>
    <customShpInfo spid="_x0000_s1041"/>
    <customShpInfo spid="_x0000_s1063"/>
    <customShpInfo spid="_x0000_s1042"/>
    <customShpInfo spid="_x0000_s104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560D976-53E7-4199-9DBE-878D5429CAD7}">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72</Pages>
  <Words>3930</Words>
  <Characters>22401</Characters>
  <Lines>186</Lines>
  <Paragraphs>52</Paragraphs>
  <TotalTime>31</TotalTime>
  <ScaleCrop>false</ScaleCrop>
  <LinksUpToDate>false</LinksUpToDate>
  <CharactersWithSpaces>26279</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2021-04-15T02:43:00Z</dcterms:created>
  <dc:creator>微软用户</dc:creator>
  <cp:lastModifiedBy>赵弋</cp:lastModifiedBy>
  <dcterms:modified xsi:type="dcterms:W3CDTF">2021-09-04T08:15:06Z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