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color w:val="auto"/>
          <w:sz w:val="72"/>
          <w:szCs w:val="72"/>
        </w:rPr>
      </w:pPr>
    </w:p>
    <w:p>
      <w:pPr>
        <w:jc w:val="center"/>
        <w:rPr>
          <w:rFonts w:ascii="Times New Roman" w:hAnsi="Times New Roman" w:eastAsia="宋体" w:cs="Times New Roman"/>
          <w:color w:val="auto"/>
          <w:sz w:val="72"/>
          <w:szCs w:val="72"/>
        </w:rPr>
      </w:pPr>
    </w:p>
    <w:p>
      <w:pPr>
        <w:jc w:val="center"/>
        <w:rPr>
          <w:rFonts w:ascii="Times New Roman" w:hAnsi="Times New Roman" w:eastAsia="宋体" w:cs="Times New Roman"/>
          <w:color w:val="auto"/>
          <w:sz w:val="72"/>
          <w:szCs w:val="72"/>
        </w:rPr>
      </w:pPr>
    </w:p>
    <w:p>
      <w:pPr>
        <w:jc w:val="center"/>
        <w:rPr>
          <w:rFonts w:ascii="Times New Roman" w:hAnsi="Times New Roman" w:eastAsia="宋体" w:cs="Times New Roman"/>
          <w:color w:val="auto"/>
          <w:sz w:val="72"/>
          <w:szCs w:val="72"/>
        </w:rPr>
      </w:pPr>
      <w:r>
        <w:rPr>
          <w:rFonts w:ascii="Times New Roman" w:hAnsi="Times New Roman" w:eastAsia="宋体" w:cs="Times New Roman"/>
          <w:color w:val="auto"/>
          <w:sz w:val="72"/>
          <w:szCs w:val="72"/>
        </w:rPr>
        <w:t>建设项目环境影响报告表</w:t>
      </w:r>
    </w:p>
    <w:p>
      <w:pPr>
        <w:adjustRightInd w:val="0"/>
        <w:snapToGrid w:val="0"/>
        <w:spacing w:before="120" w:beforeLines="50" w:after="120" w:afterLines="50"/>
        <w:jc w:val="center"/>
        <w:rPr>
          <w:rFonts w:ascii="Times New Roman" w:hAnsi="Times New Roman" w:eastAsia="宋体" w:cs="Times New Roman"/>
          <w:bCs/>
          <w:color w:val="auto"/>
          <w:sz w:val="36"/>
          <w:szCs w:val="36"/>
        </w:rPr>
      </w:pPr>
      <w:r>
        <w:rPr>
          <w:rFonts w:ascii="Times New Roman" w:hAnsi="Times New Roman" w:eastAsia="宋体" w:cs="Times New Roman"/>
          <w:bCs/>
          <w:color w:val="auto"/>
          <w:sz w:val="36"/>
          <w:szCs w:val="36"/>
        </w:rPr>
        <w:t>（污染影响类）</w:t>
      </w: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pStyle w:val="2"/>
        <w:rPr>
          <w:rFonts w:ascii="Times New Roman" w:hAnsi="Times New Roman" w:eastAsia="宋体" w:cs="Times New Roman"/>
          <w:bCs/>
          <w:color w:val="auto"/>
          <w:sz w:val="36"/>
          <w:szCs w:val="36"/>
        </w:rPr>
      </w:pPr>
    </w:p>
    <w:p/>
    <w:p/>
    <w:p>
      <w:pPr>
        <w:adjustRightInd w:val="0"/>
        <w:snapToGrid w:val="0"/>
        <w:spacing w:before="120" w:beforeLines="50" w:after="120" w:afterLines="50"/>
        <w:jc w:val="center"/>
        <w:rPr>
          <w:rFonts w:ascii="Times New Roman" w:hAnsi="Times New Roman" w:eastAsia="宋体" w:cs="Times New Roman"/>
          <w:bCs/>
          <w:color w:val="auto"/>
          <w:sz w:val="36"/>
          <w:szCs w:val="36"/>
        </w:rPr>
      </w:pPr>
    </w:p>
    <w:p>
      <w:pPr>
        <w:adjustRightInd w:val="0"/>
        <w:snapToGrid w:val="0"/>
        <w:spacing w:before="120" w:beforeLines="50" w:after="120" w:afterLines="50"/>
        <w:jc w:val="center"/>
        <w:rPr>
          <w:rFonts w:ascii="Times New Roman" w:hAnsi="Times New Roman" w:eastAsia="宋体" w:cs="Times New Roman"/>
          <w:bCs/>
          <w:color w:val="auto"/>
          <w:sz w:val="36"/>
          <w:szCs w:val="36"/>
        </w:rPr>
      </w:pPr>
    </w:p>
    <w:tbl>
      <w:tblPr>
        <w:tblStyle w:val="21"/>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4"/>
        <w:gridCol w:w="67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color w:val="auto"/>
                <w:kern w:val="0"/>
                <w:sz w:val="28"/>
                <w:szCs w:val="28"/>
              </w:rPr>
            </w:pPr>
            <w:r>
              <w:rPr>
                <w:rFonts w:ascii="Times New Roman" w:hAnsi="Times New Roman" w:eastAsia="宋体" w:cs="Times New Roman"/>
                <w:color w:val="auto"/>
                <w:kern w:val="0"/>
                <w:sz w:val="28"/>
                <w:szCs w:val="28"/>
              </w:rPr>
              <w:t>项目名称：</w:t>
            </w:r>
          </w:p>
        </w:tc>
        <w:tc>
          <w:tcPr>
            <w:tcW w:w="6794" w:type="dxa"/>
            <w:vAlign w:val="center"/>
          </w:tcPr>
          <w:p>
            <w:pPr>
              <w:adjustRightInd w:val="0"/>
              <w:snapToGrid w:val="0"/>
              <w:rPr>
                <w:rFonts w:hint="eastAsia" w:ascii="Times New Roman" w:hAnsi="Times New Roman" w:eastAsia="宋体" w:cs="Times New Roman"/>
                <w:bCs/>
                <w:color w:val="auto"/>
                <w:kern w:val="0"/>
                <w:sz w:val="28"/>
                <w:szCs w:val="28"/>
                <w:lang w:eastAsia="zh-CN"/>
              </w:rPr>
            </w:pPr>
            <w:r>
              <w:rPr>
                <w:rFonts w:hint="eastAsia" w:ascii="Times New Roman" w:hAnsi="Times New Roman" w:eastAsia="宋体" w:cs="Times New Roman"/>
                <w:color w:val="auto"/>
                <w:kern w:val="0"/>
                <w:sz w:val="28"/>
                <w:szCs w:val="28"/>
                <w:u w:val="single"/>
                <w:lang w:eastAsia="zh-CN"/>
              </w:rPr>
              <w:t>柳林县鑫创设备再制造科技有限公司矿山设备加工及维修项目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color w:val="auto"/>
                <w:kern w:val="0"/>
                <w:sz w:val="28"/>
                <w:szCs w:val="28"/>
              </w:rPr>
            </w:pPr>
            <w:r>
              <w:rPr>
                <w:rFonts w:ascii="Times New Roman" w:hAnsi="Times New Roman" w:eastAsia="宋体" w:cs="Times New Roman"/>
                <w:color w:val="auto"/>
                <w:kern w:val="0"/>
                <w:sz w:val="28"/>
                <w:szCs w:val="28"/>
              </w:rPr>
              <w:t>建设单位（盖章）：</w:t>
            </w:r>
          </w:p>
        </w:tc>
        <w:tc>
          <w:tcPr>
            <w:tcW w:w="6794" w:type="dxa"/>
            <w:vAlign w:val="center"/>
          </w:tcPr>
          <w:p>
            <w:pPr>
              <w:adjustRightInd w:val="0"/>
              <w:snapToGrid w:val="0"/>
              <w:rPr>
                <w:rFonts w:hint="eastAsia" w:ascii="Times New Roman" w:hAnsi="Times New Roman" w:eastAsia="宋体" w:cs="Times New Roman"/>
                <w:bCs/>
                <w:color w:val="auto"/>
                <w:kern w:val="0"/>
                <w:sz w:val="28"/>
                <w:szCs w:val="28"/>
                <w:lang w:eastAsia="zh-CN"/>
              </w:rPr>
            </w:pPr>
            <w:r>
              <w:rPr>
                <w:rFonts w:hint="eastAsia" w:ascii="Times New Roman" w:hAnsi="Times New Roman" w:eastAsia="宋体" w:cs="Times New Roman"/>
                <w:color w:val="auto"/>
                <w:kern w:val="0"/>
                <w:sz w:val="28"/>
                <w:szCs w:val="28"/>
                <w:u w:val="single"/>
                <w:lang w:eastAsia="zh-CN"/>
              </w:rPr>
              <w:t>柳林县鑫创设备再制造科技有限公司</w:t>
            </w:r>
          </w:p>
        </w:tc>
      </w:tr>
    </w:tbl>
    <w:p>
      <w:pPr>
        <w:adjustRightInd w:val="0"/>
        <w:snapToGrid w:val="0"/>
        <w:spacing w:before="120" w:beforeLines="50" w:after="120" w:afterLines="50"/>
        <w:jc w:val="center"/>
        <w:rPr>
          <w:rFonts w:ascii="Times New Roman" w:hAnsi="Times New Roman" w:eastAsia="宋体" w:cs="Times New Roman"/>
          <w:bCs/>
          <w:color w:val="auto"/>
          <w:sz w:val="28"/>
          <w:szCs w:val="28"/>
        </w:rPr>
      </w:pPr>
    </w:p>
    <w:p>
      <w:pPr>
        <w:adjustRightInd w:val="0"/>
        <w:snapToGrid w:val="0"/>
        <w:spacing w:before="120" w:beforeLines="50" w:after="120" w:afterLines="50"/>
        <w:jc w:val="center"/>
        <w:rPr>
          <w:rFonts w:ascii="Times New Roman" w:hAnsi="Times New Roman" w:eastAsia="宋体" w:cs="Times New Roman"/>
          <w:bCs/>
          <w:color w:val="auto"/>
          <w:sz w:val="28"/>
          <w:szCs w:val="28"/>
        </w:rPr>
        <w:sectPr>
          <w:pgSz w:w="11906" w:h="16838"/>
          <w:pgMar w:top="1417" w:right="1134" w:bottom="1417" w:left="1134" w:header="851" w:footer="1077" w:gutter="0"/>
          <w:pgBorders>
            <w:top w:val="none" w:sz="0" w:space="0"/>
            <w:left w:val="none" w:sz="0" w:space="0"/>
            <w:bottom w:val="none" w:sz="0" w:space="0"/>
            <w:right w:val="none" w:sz="0" w:space="0"/>
          </w:pgBorders>
          <w:cols w:space="720" w:num="1"/>
          <w:docGrid w:linePitch="312" w:charSpace="0"/>
        </w:sectPr>
      </w:pPr>
      <w:r>
        <w:rPr>
          <w:rFonts w:ascii="Times New Roman" w:hAnsi="Times New Roman" w:eastAsia="宋体" w:cs="Times New Roman"/>
          <w:bCs/>
          <w:color w:val="auto"/>
          <w:sz w:val="28"/>
          <w:szCs w:val="28"/>
        </w:rPr>
        <w:t>编制日期：二〇二一年</w:t>
      </w:r>
      <w:r>
        <w:rPr>
          <w:rFonts w:hint="eastAsia" w:ascii="Times New Roman" w:hAnsi="Times New Roman" w:eastAsia="宋体" w:cs="Times New Roman"/>
          <w:bCs/>
          <w:color w:val="auto"/>
          <w:sz w:val="28"/>
          <w:szCs w:val="28"/>
          <w:lang w:val="en-US" w:eastAsia="zh-CN"/>
        </w:rPr>
        <w:t>九</w:t>
      </w:r>
      <w:r>
        <w:rPr>
          <w:rFonts w:ascii="Times New Roman" w:hAnsi="Times New Roman" w:eastAsia="宋体" w:cs="Times New Roman"/>
          <w:bCs/>
          <w:color w:val="auto"/>
          <w:sz w:val="28"/>
          <w:szCs w:val="28"/>
        </w:rPr>
        <w:t>月</w:t>
      </w:r>
    </w:p>
    <w:p>
      <w:pPr>
        <w:rPr>
          <w:rFonts w:hint="eastAsia" w:ascii="Times New Roman" w:hAnsi="Times New Roman" w:eastAsia="宋体" w:cs="Times New Roman"/>
          <w:bCs/>
          <w:kern w:val="0"/>
          <w:sz w:val="24"/>
          <w:szCs w:val="24"/>
          <w:lang w:eastAsia="zh-CN"/>
        </w:rPr>
      </w:pPr>
      <w:r>
        <w:rPr>
          <w:rFonts w:hint="eastAsia" w:ascii="Times New Roman" w:hAnsi="Times New Roman" w:eastAsia="宋体" w:cs="Times New Roman"/>
          <w:bCs/>
          <w:kern w:val="0"/>
          <w:sz w:val="24"/>
          <w:szCs w:val="24"/>
          <w:lang w:eastAsia="zh-CN"/>
        </w:rPr>
        <w:br w:type="page"/>
      </w:r>
    </w:p>
    <w:p>
      <w:pPr>
        <w:jc w:val="center"/>
        <w:rPr>
          <w:rFonts w:ascii="Times New Roman" w:hAnsi="Times New Roman" w:eastAsia="宋体" w:cs="Times New Roman"/>
          <w:kern w:val="0"/>
          <w:sz w:val="24"/>
          <w:szCs w:val="24"/>
        </w:rPr>
      </w:pPr>
      <w:r>
        <w:rPr>
          <w:rFonts w:hint="eastAsia" w:ascii="Times New Roman" w:hAnsi="Times New Roman" w:eastAsia="宋体" w:cs="Times New Roman"/>
          <w:bCs/>
          <w:kern w:val="0"/>
          <w:sz w:val="24"/>
          <w:szCs w:val="24"/>
          <w:lang w:eastAsia="zh-CN"/>
        </w:rPr>
        <w:t>柳林县鑫创设备再制造科技有限公司矿山设备加工及维修项目</w:t>
      </w:r>
      <w:r>
        <w:rPr>
          <w:rFonts w:ascii="Times New Roman" w:hAnsi="Times New Roman" w:eastAsia="宋体" w:cs="Times New Roman"/>
          <w:kern w:val="0"/>
          <w:sz w:val="24"/>
          <w:szCs w:val="24"/>
        </w:rPr>
        <w:t>环境影响报告表技术审查意见修改说明</w:t>
      </w:r>
    </w:p>
    <w:tbl>
      <w:tblPr>
        <w:tblStyle w:val="6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3905"/>
        <w:gridCol w:w="4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序号</w:t>
            </w:r>
          </w:p>
        </w:tc>
        <w:tc>
          <w:tcPr>
            <w:tcW w:w="2102" w:type="pct"/>
            <w:vAlign w:val="center"/>
          </w:tcPr>
          <w:p>
            <w:pPr>
              <w:adjustRightIn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技术审查意见</w:t>
            </w:r>
          </w:p>
        </w:tc>
        <w:tc>
          <w:tcPr>
            <w:tcW w:w="2657" w:type="pct"/>
            <w:vAlign w:val="center"/>
          </w:tcPr>
          <w:p>
            <w:pPr>
              <w:adjustRightIn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w:t>
            </w:r>
          </w:p>
        </w:tc>
        <w:tc>
          <w:tcPr>
            <w:tcW w:w="2102"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核实项目厂址与柳林县城规划区的位置关系，进一步分析与柳林县城市总体规划或乡镇规划的符合性；明确厂址占地性质，分析与土地利用规划的符合性；进一步分析项目选址的环境可行性。</w:t>
            </w:r>
          </w:p>
        </w:tc>
        <w:tc>
          <w:tcPr>
            <w:tcW w:w="2657"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核实了项目厂址与柳林县城规划区的位置关系，进一步分析与柳林县城市总体规划或乡镇规划的符合性；明确厂址占地性质为建设用地，并分析与土地利用规划的符合性（P</w:t>
            </w:r>
            <w:r>
              <w:rPr>
                <w:rFonts w:ascii="Times New Roman" w:hAnsi="Times New Roman" w:eastAsia="宋体" w:cs="Times New Roman"/>
                <w:kern w:val="0"/>
                <w:sz w:val="21"/>
                <w:szCs w:val="21"/>
              </w:rPr>
              <w:t>4</w:t>
            </w:r>
            <w:r>
              <w:rPr>
                <w:rFonts w:hint="eastAsia" w:ascii="Times New Roman" w:hAnsi="Times New Roman" w:eastAsia="宋体" w:cs="Times New Roman"/>
                <w:kern w:val="0"/>
                <w:sz w:val="21"/>
                <w:szCs w:val="21"/>
              </w:rPr>
              <w:t>）。补充调查了各环境要素环境保护目标及主要地表水国省控断面，补充了环境保护目标表及图件（P</w:t>
            </w:r>
            <w:r>
              <w:rPr>
                <w:rFonts w:ascii="Times New Roman" w:hAnsi="Times New Roman" w:eastAsia="宋体" w:cs="Times New Roman"/>
                <w:kern w:val="0"/>
                <w:sz w:val="21"/>
                <w:szCs w:val="21"/>
              </w:rPr>
              <w:t>17</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附图</w:t>
            </w:r>
            <w:r>
              <w:rPr>
                <w:rFonts w:hint="eastAsia" w:ascii="Times New Roman" w:hAnsi="Times New Roman" w:eastAsia="宋体" w:cs="Times New Roman"/>
                <w:kern w:val="0"/>
                <w:sz w:val="21"/>
                <w:szCs w:val="21"/>
                <w:lang w:val="en-US" w:eastAsia="zh-CN"/>
              </w:rPr>
              <w:t>5</w:t>
            </w:r>
            <w:r>
              <w:rPr>
                <w:rFonts w:hint="eastAsia" w:ascii="Times New Roman" w:hAnsi="Times New Roman" w:eastAsia="宋体"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w:t>
            </w:r>
          </w:p>
        </w:tc>
        <w:tc>
          <w:tcPr>
            <w:tcW w:w="2102"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完善工程建设内容表，结合最新环保要求，选择环保型喷漆原辅料，明确各喷漆所用原辅料成分，有毒有害元素及比例，详细核实其用量；补充喷漆房及烘干房规格参数、工艺技术参数，核实喷漆，烘干工序废气量，核实有机废气污染物产生浓度、产生量；对喷漆、烘干有机废气净化处理方案进行可行性分析，并给出有机废气净化设施规格参数及主要技术参数，核实有机废气污染物排放浓度、排放量。补充与环大气【2019】53号《重点行业挥发性有机物综合治理方案》及地方要求、《挥发性有机物无组织控制标准》（GB37822-2019）的符合性分析</w:t>
            </w:r>
            <w:r>
              <w:rPr>
                <w:rFonts w:hint="eastAsia" w:ascii="Times New Roman" w:hAnsi="Times New Roman" w:eastAsia="宋体" w:cs="Times New Roman"/>
                <w:kern w:val="0"/>
                <w:sz w:val="21"/>
                <w:szCs w:val="21"/>
              </w:rPr>
              <w:t>。</w:t>
            </w:r>
          </w:p>
        </w:tc>
        <w:tc>
          <w:tcPr>
            <w:tcW w:w="2657"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p6~7完善了工程建设内容表，p10明确了所用油漆的种类及油漆中有毒有害元素及比例，P11详细核实了其用量；P10补充了喷漆房及烘干房规格参数、工艺技术参数，P31~32核实了喷漆，烘干工序废气量及有机废气污染物产生浓度、产生量；对喷漆、烘干有机废气净化处理方案进行了可行性分析，并给出了有机废气净化设施规格参数及主要技术参数，核实了有机废气污染物排放浓度、排放量。P4补充了与环大气【2019】53号《重点行业挥发性有机物综合治理方案》及地方要求、《挥发性有机物无组织控制标准》（GB37822-2019）的符合性分析</w:t>
            </w:r>
            <w:r>
              <w:rPr>
                <w:rFonts w:hint="eastAsia" w:ascii="Times New Roman" w:hAnsi="Times New Roman" w:eastAsia="宋体"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3</w:t>
            </w:r>
          </w:p>
        </w:tc>
        <w:tc>
          <w:tcPr>
            <w:tcW w:w="2102"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核实焊接、打磨工序集尘、除尘方案，明确集气罩设置位置、数量、方式、集气罩罩口面积、烟气流速等参数。补充等离子切割集气、除尘方案，补充切割废气量及颗粒物排放情况。核实焊接、打磨工序废气量，核实颗粒物排放浓度、排放量</w:t>
            </w:r>
            <w:r>
              <w:rPr>
                <w:rFonts w:hint="eastAsia" w:ascii="Times New Roman" w:hAnsi="Times New Roman" w:eastAsia="宋体" w:cs="Times New Roman"/>
                <w:kern w:val="0"/>
                <w:sz w:val="21"/>
                <w:szCs w:val="21"/>
              </w:rPr>
              <w:t>。</w:t>
            </w:r>
          </w:p>
        </w:tc>
        <w:tc>
          <w:tcPr>
            <w:tcW w:w="2657"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本项目不涉及打磨。P28~29核实了焊接、切割工序的产尘量，根据专家要求增加了集尘罩和布袋布袋除尘器，明确了集气罩设置位置和数量、集气罩罩口面积、烟气流速等参数。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4</w:t>
            </w:r>
          </w:p>
        </w:tc>
        <w:tc>
          <w:tcPr>
            <w:tcW w:w="2102" w:type="pct"/>
            <w:vAlign w:val="center"/>
          </w:tcPr>
          <w:p>
            <w:pPr>
              <w:adjustRightInd w:val="0"/>
              <w:rPr>
                <w:rFonts w:hint="eastAsia" w:ascii="Times New Roman" w:hAnsi="Times New Roman" w:eastAsia="宋体" w:cs="Times New Roman"/>
                <w:kern w:val="0"/>
                <w:sz w:val="21"/>
                <w:szCs w:val="21"/>
              </w:rPr>
            </w:pPr>
            <w:r>
              <w:rPr>
                <w:rFonts w:hint="eastAsia" w:ascii="Times New Roman" w:hAnsi="Times New Roman" w:eastAsia="宋体"/>
                <w:sz w:val="21"/>
                <w:szCs w:val="21"/>
                <w:lang w:val="en-US" w:eastAsia="zh-CN"/>
              </w:rPr>
              <w:t>核实大气污染源排放参数，补充无组织源排放参数，项目位于大气不达标区，补充项目</w:t>
            </w:r>
            <w:r>
              <w:rPr>
                <w:rFonts w:hint="eastAsia" w:ascii="Times New Roman" w:hAnsi="Times New Roman" w:eastAsia="宋体" w:cs="Times New Roman"/>
                <w:kern w:val="0"/>
                <w:sz w:val="21"/>
                <w:szCs w:val="21"/>
                <w:lang w:val="en-US" w:eastAsia="zh-CN"/>
              </w:rPr>
              <w:t>的区域削减方案</w:t>
            </w:r>
            <w:r>
              <w:rPr>
                <w:rFonts w:hint="eastAsia" w:ascii="Times New Roman" w:hAnsi="Times New Roman" w:eastAsia="宋体" w:cs="Times New Roman"/>
                <w:kern w:val="0"/>
                <w:sz w:val="21"/>
                <w:szCs w:val="21"/>
              </w:rPr>
              <w:t>。</w:t>
            </w:r>
          </w:p>
          <w:p>
            <w:pPr>
              <w:adjustRightInd w:val="0"/>
              <w:rPr>
                <w:rFonts w:ascii="Times New Roman" w:hAnsi="Times New Roman" w:eastAsia="宋体"/>
                <w:sz w:val="21"/>
                <w:szCs w:val="21"/>
              </w:rPr>
            </w:pPr>
            <w:r>
              <w:rPr>
                <w:rFonts w:hint="eastAsia" w:ascii="Times New Roman" w:hAnsi="Times New Roman" w:eastAsia="宋体" w:cs="Times New Roman"/>
                <w:kern w:val="0"/>
                <w:sz w:val="21"/>
                <w:szCs w:val="21"/>
                <w:lang w:val="en-US" w:eastAsia="zh-CN"/>
              </w:rPr>
              <w:t>补全噪声源，核实各产噪设施的噪声水平及降噪措施，规范噪声预测的内容，补充噪声贡献等值线图，核实厂界噪声预测结果及对近距离敏感目标点的预测结果。</w:t>
            </w:r>
          </w:p>
        </w:tc>
        <w:tc>
          <w:tcPr>
            <w:tcW w:w="2657" w:type="pct"/>
            <w:vAlign w:val="center"/>
          </w:tcPr>
          <w:p>
            <w:pPr>
              <w:adjustRightInd w:val="0"/>
              <w:rPr>
                <w:rFonts w:hint="eastAsia" w:ascii="Times New Roman" w:hAnsi="Times New Roman" w:eastAsia="宋体" w:cs="Times New Roman"/>
                <w:kern w:val="0"/>
                <w:sz w:val="21"/>
                <w:szCs w:val="21"/>
              </w:rPr>
            </w:pPr>
            <w:r>
              <w:rPr>
                <w:rFonts w:hint="eastAsia" w:ascii="Times New Roman" w:hAnsi="Times New Roman" w:eastAsia="宋体"/>
                <w:sz w:val="21"/>
                <w:szCs w:val="21"/>
                <w:lang w:val="en-US" w:eastAsia="zh-CN"/>
              </w:rPr>
              <w:t>P34核实了大气污染源排放参数，并补充了无组织源排放参数</w:t>
            </w:r>
            <w:r>
              <w:rPr>
                <w:rFonts w:hint="eastAsia" w:ascii="Times New Roman" w:hAnsi="Times New Roman" w:eastAsia="宋体" w:cs="Times New Roman"/>
                <w:kern w:val="0"/>
                <w:sz w:val="21"/>
                <w:szCs w:val="21"/>
              </w:rPr>
              <w:t>。</w:t>
            </w:r>
          </w:p>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P36补全了噪声源，核实了各产噪设施的噪声水平及降噪措施，规范了噪声预测的内容。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5</w:t>
            </w:r>
          </w:p>
        </w:tc>
        <w:tc>
          <w:tcPr>
            <w:tcW w:w="2102"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完善厂区平面布置图，标出主要生产设施和环保设施位置。核实危废种类及产生量，分析危废暂存间面积是否满足要求，明确建设要求。细化全厂分区防渗的具体要求。核实有机废气污染物排放标准</w:t>
            </w:r>
            <w:r>
              <w:rPr>
                <w:rFonts w:hint="eastAsia" w:ascii="Times New Roman" w:hAnsi="Times New Roman" w:eastAsia="宋体" w:cs="Times New Roman"/>
                <w:kern w:val="0"/>
                <w:sz w:val="21"/>
                <w:szCs w:val="21"/>
              </w:rPr>
              <w:t>。</w:t>
            </w:r>
          </w:p>
        </w:tc>
        <w:tc>
          <w:tcPr>
            <w:tcW w:w="2657" w:type="pct"/>
            <w:vAlign w:val="center"/>
          </w:tcPr>
          <w:p>
            <w:pPr>
              <w:adjustRightInd w:val="0"/>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附图3完善厂区平面布置图。P37-38核实了危废种类及产生量，P39明确了危废暂存间建设要求。P40细化了全厂分区防渗的具体要求。P23核实了有机废气污染物排放标准</w:t>
            </w:r>
            <w:r>
              <w:rPr>
                <w:rFonts w:hint="eastAsia" w:ascii="Times New Roman" w:hAnsi="Times New Roman" w:eastAsia="宋体"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239" w:type="pct"/>
            <w:vAlign w:val="center"/>
          </w:tcPr>
          <w:p>
            <w:pPr>
              <w:adjustRightIn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6</w:t>
            </w:r>
          </w:p>
        </w:tc>
        <w:tc>
          <w:tcPr>
            <w:tcW w:w="2102" w:type="pct"/>
            <w:vAlign w:val="center"/>
          </w:tcPr>
          <w:p>
            <w:pPr>
              <w:adjustRightInd w:val="0"/>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对大气、地下水进行专项评价，调整项目检测计划，完善并规范附图、附件、附表。</w:t>
            </w:r>
          </w:p>
        </w:tc>
        <w:tc>
          <w:tcPr>
            <w:tcW w:w="2657" w:type="pct"/>
            <w:vAlign w:val="center"/>
          </w:tcPr>
          <w:p>
            <w:pPr>
              <w:adjustRightInd w:val="0"/>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依据《建设项目环境影响报告表编制技术指南（污染影响类）》（试行）中表1专项评价设置原则，对照本项目大气污染物排放情况，不属于大气专项评价设置原则中规定的类别，不进行大气环境影响专项评价。</w:t>
            </w:r>
          </w:p>
          <w:p>
            <w:pPr>
              <w:adjustRightInd w:val="0"/>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依据《建设项目环境影响报告表编制技术指南（污染影响类）》（试行）中表1专项评价设置原则，地下水原则上不开展专项评价，本项目不涉及集中式饮用水水源和热水、矿泉水、温泉等特殊地下水资源保护区，因此不需开展地下水专项评价工作。</w:t>
            </w:r>
          </w:p>
          <w:p>
            <w:pPr>
              <w:adjustRightInd w:val="0"/>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补充并规范了相关附图、附表、附件</w:t>
            </w:r>
            <w:r>
              <w:rPr>
                <w:rFonts w:hint="eastAsia" w:ascii="Times New Roman" w:hAnsi="Times New Roman" w:eastAsia="宋体" w:cs="Times New Roman"/>
                <w:kern w:val="0"/>
                <w:sz w:val="21"/>
                <w:szCs w:val="21"/>
                <w:lang w:val="en-US" w:eastAsia="zh-CN"/>
              </w:rPr>
              <w:t>。</w:t>
            </w:r>
          </w:p>
        </w:tc>
      </w:tr>
    </w:tbl>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Pr>
        <w:rPr>
          <w:rFonts w:ascii="Times New Roman" w:hAnsi="Times New Roman" w:eastAsia="宋体" w:cs="Times New Roman"/>
          <w:color w:val="auto"/>
        </w:rPr>
      </w:pPr>
    </w:p>
    <w:p>
      <w:pPr>
        <w:pStyle w:val="2"/>
      </w:pPr>
    </w:p>
    <w:p>
      <w:pPr>
        <w:rPr>
          <w:rFonts w:ascii="Times New Roman" w:hAnsi="Times New Roman" w:eastAsia="宋体" w:cs="Times New Roman"/>
          <w:color w:val="auto"/>
        </w:rPr>
      </w:pPr>
    </w:p>
    <w:tbl>
      <w:tblPr>
        <w:tblStyle w:val="20"/>
        <w:tblW w:w="10354" w:type="dxa"/>
        <w:jc w:val="center"/>
        <w:tblLayout w:type="fixed"/>
        <w:tblCellMar>
          <w:top w:w="0" w:type="dxa"/>
          <w:left w:w="108" w:type="dxa"/>
          <w:bottom w:w="0" w:type="dxa"/>
          <w:right w:w="108" w:type="dxa"/>
        </w:tblCellMar>
      </w:tblPr>
      <w:tblGrid>
        <w:gridCol w:w="5177"/>
        <w:gridCol w:w="5177"/>
      </w:tblGrid>
      <w:tr>
        <w:tblPrEx>
          <w:tblCellMar>
            <w:top w:w="0" w:type="dxa"/>
            <w:left w:w="108" w:type="dxa"/>
            <w:bottom w:w="0" w:type="dxa"/>
            <w:right w:w="108" w:type="dxa"/>
          </w:tblCellMar>
        </w:tblPrEx>
        <w:trPr>
          <w:trHeight w:val="3754" w:hRule="atLeast"/>
          <w:jc w:val="center"/>
        </w:trPr>
        <w:tc>
          <w:tcPr>
            <w:tcW w:w="5177" w:type="dxa"/>
            <w:vAlign w:val="center"/>
          </w:tcPr>
          <w:p>
            <w:pPr>
              <w:overflowPunct w:val="0"/>
              <w:autoSpaceDE w:val="0"/>
              <w:autoSpaceDN w:val="0"/>
              <w:jc w:val="center"/>
              <w:rPr>
                <w:rFonts w:ascii="Times New Roman" w:hAnsi="Times New Roman" w:eastAsia="宋体" w:cs="Times New Roman"/>
                <w:bCs/>
                <w:color w:val="auto"/>
                <w:sz w:val="24"/>
                <w:szCs w:val="24"/>
              </w:rPr>
            </w:pPr>
            <w:r>
              <w:rPr>
                <w:rFonts w:ascii="Times New Roman" w:hAnsi="Times New Roman" w:eastAsia="宋体"/>
                <w:color w:val="auto"/>
              </w:rPr>
              <w:drawing>
                <wp:anchor distT="0" distB="0" distL="114300" distR="114300" simplePos="0" relativeHeight="251672576" behindDoc="0" locked="0" layoutInCell="1" allowOverlap="1">
                  <wp:simplePos x="0" y="0"/>
                  <wp:positionH relativeFrom="column">
                    <wp:posOffset>238760</wp:posOffset>
                  </wp:positionH>
                  <wp:positionV relativeFrom="paragraph">
                    <wp:posOffset>166370</wp:posOffset>
                  </wp:positionV>
                  <wp:extent cx="2797175" cy="2095500"/>
                  <wp:effectExtent l="0" t="0" r="3175" b="0"/>
                  <wp:wrapNone/>
                  <wp:docPr id="50" name="图片 38" descr="IMG_20180622_100601"/>
                  <wp:cNvGraphicFramePr/>
                  <a:graphic xmlns:a="http://schemas.openxmlformats.org/drawingml/2006/main">
                    <a:graphicData uri="http://schemas.openxmlformats.org/drawingml/2006/picture">
                      <pic:pic xmlns:pic="http://schemas.openxmlformats.org/drawingml/2006/picture">
                        <pic:nvPicPr>
                          <pic:cNvPr id="50" name="图片 38" descr="IMG_20180622_100601"/>
                          <pic:cNvPicPr preferRelativeResize="0"/>
                        </pic:nvPicPr>
                        <pic:blipFill>
                          <a:blip r:embed="rId5"/>
                          <a:stretch>
                            <a:fillRect/>
                          </a:stretch>
                        </pic:blipFill>
                        <pic:spPr>
                          <a:xfrm>
                            <a:off x="0" y="0"/>
                            <a:ext cx="2797175" cy="2095500"/>
                          </a:xfrm>
                          <a:prstGeom prst="rect">
                            <a:avLst/>
                          </a:prstGeom>
                          <a:noFill/>
                          <a:ln>
                            <a:noFill/>
                          </a:ln>
                        </pic:spPr>
                      </pic:pic>
                    </a:graphicData>
                  </a:graphic>
                </wp:anchor>
              </w:drawing>
            </w:r>
          </w:p>
        </w:tc>
        <w:tc>
          <w:tcPr>
            <w:tcW w:w="5177" w:type="dxa"/>
            <w:vAlign w:val="center"/>
          </w:tcPr>
          <w:p>
            <w:pPr>
              <w:overflowPunct w:val="0"/>
              <w:autoSpaceDE w:val="0"/>
              <w:autoSpaceDN w:val="0"/>
              <w:jc w:val="center"/>
              <w:rPr>
                <w:rFonts w:ascii="Times New Roman" w:hAnsi="Times New Roman" w:eastAsia="宋体" w:cs="Times New Roman"/>
                <w:bCs/>
                <w:color w:val="auto"/>
                <w:sz w:val="24"/>
                <w:szCs w:val="24"/>
              </w:rPr>
            </w:pPr>
            <w:r>
              <w:rPr>
                <w:rFonts w:ascii="Times New Roman" w:hAnsi="Times New Roman" w:eastAsia="宋体"/>
                <w:color w:val="auto"/>
              </w:rPr>
              <w:drawing>
                <wp:anchor distT="0" distB="0" distL="114300" distR="114300" simplePos="0" relativeHeight="251670528" behindDoc="0" locked="0" layoutInCell="1" allowOverlap="1">
                  <wp:simplePos x="0" y="0"/>
                  <wp:positionH relativeFrom="column">
                    <wp:posOffset>166370</wp:posOffset>
                  </wp:positionH>
                  <wp:positionV relativeFrom="paragraph">
                    <wp:posOffset>123190</wp:posOffset>
                  </wp:positionV>
                  <wp:extent cx="2797175" cy="2095500"/>
                  <wp:effectExtent l="0" t="0" r="3175" b="0"/>
                  <wp:wrapNone/>
                  <wp:docPr id="1" name="图片 34" descr="IMG_20180622_100716"/>
                  <wp:cNvGraphicFramePr/>
                  <a:graphic xmlns:a="http://schemas.openxmlformats.org/drawingml/2006/main">
                    <a:graphicData uri="http://schemas.openxmlformats.org/drawingml/2006/picture">
                      <pic:pic xmlns:pic="http://schemas.openxmlformats.org/drawingml/2006/picture">
                        <pic:nvPicPr>
                          <pic:cNvPr id="1" name="图片 34" descr="IMG_20180622_100716"/>
                          <pic:cNvPicPr preferRelativeResize="0"/>
                        </pic:nvPicPr>
                        <pic:blipFill>
                          <a:blip r:embed="rId6"/>
                          <a:stretch>
                            <a:fillRect/>
                          </a:stretch>
                        </pic:blipFill>
                        <pic:spPr>
                          <a:xfrm>
                            <a:off x="0" y="0"/>
                            <a:ext cx="2797175" cy="20955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87" w:hRule="atLeast"/>
          <w:jc w:val="center"/>
        </w:trPr>
        <w:tc>
          <w:tcPr>
            <w:tcW w:w="5177" w:type="dxa"/>
            <w:vAlign w:val="center"/>
          </w:tcPr>
          <w:p>
            <w:pPr>
              <w:overflowPunct w:val="0"/>
              <w:autoSpaceDE w:val="0"/>
              <w:autoSpaceDN w:val="0"/>
              <w:jc w:val="center"/>
              <w:rPr>
                <w:rFonts w:ascii="Times New Roman" w:hAnsi="Times New Roman" w:eastAsia="宋体" w:cs="Times New Roman"/>
                <w:bCs/>
                <w:color w:val="auto"/>
                <w:sz w:val="24"/>
                <w:szCs w:val="24"/>
                <w:highlight w:val="yellow"/>
              </w:rPr>
            </w:pPr>
            <w:r>
              <w:rPr>
                <w:rFonts w:ascii="Times New Roman" w:hAnsi="Times New Roman" w:eastAsia="宋体" w:cs="Times New Roman"/>
                <w:bCs/>
                <w:color w:val="auto"/>
                <w:sz w:val="24"/>
                <w:szCs w:val="24"/>
              </w:rPr>
              <w:t>厂区现状</w:t>
            </w:r>
          </w:p>
        </w:tc>
        <w:tc>
          <w:tcPr>
            <w:tcW w:w="5177" w:type="dxa"/>
            <w:vAlign w:val="center"/>
          </w:tcPr>
          <w:p>
            <w:pPr>
              <w:overflowPunct w:val="0"/>
              <w:autoSpaceDE w:val="0"/>
              <w:autoSpaceDN w:val="0"/>
              <w:jc w:val="center"/>
              <w:rPr>
                <w:rFonts w:ascii="Times New Roman" w:hAnsi="Times New Roman" w:eastAsia="宋体" w:cs="Times New Roman"/>
                <w:bCs/>
                <w:color w:val="auto"/>
                <w:sz w:val="24"/>
                <w:szCs w:val="24"/>
                <w:highlight w:val="yellow"/>
              </w:rPr>
            </w:pPr>
            <w:r>
              <w:rPr>
                <w:rFonts w:ascii="Times New Roman" w:hAnsi="Times New Roman" w:eastAsia="宋体" w:cs="Times New Roman"/>
                <w:bCs/>
                <w:color w:val="auto"/>
                <w:sz w:val="24"/>
                <w:szCs w:val="24"/>
              </w:rPr>
              <w:t>厂区西侧</w:t>
            </w:r>
          </w:p>
        </w:tc>
      </w:tr>
      <w:tr>
        <w:tblPrEx>
          <w:tblCellMar>
            <w:top w:w="0" w:type="dxa"/>
            <w:left w:w="108" w:type="dxa"/>
            <w:bottom w:w="0" w:type="dxa"/>
            <w:right w:w="108" w:type="dxa"/>
          </w:tblCellMar>
        </w:tblPrEx>
        <w:trPr>
          <w:trHeight w:val="4201" w:hRule="atLeast"/>
          <w:jc w:val="center"/>
        </w:trPr>
        <w:tc>
          <w:tcPr>
            <w:tcW w:w="5177" w:type="dxa"/>
            <w:vAlign w:val="center"/>
          </w:tcPr>
          <w:p>
            <w:pPr>
              <w:overflowPunct w:val="0"/>
              <w:autoSpaceDE w:val="0"/>
              <w:autoSpaceDN w:val="0"/>
              <w:jc w:val="center"/>
              <w:rPr>
                <w:rFonts w:ascii="Times New Roman" w:hAnsi="Times New Roman" w:eastAsia="宋体" w:cs="Times New Roman"/>
                <w:bCs/>
                <w:color w:val="auto"/>
                <w:sz w:val="24"/>
                <w:szCs w:val="24"/>
                <w:highlight w:val="yellow"/>
              </w:rPr>
            </w:pPr>
            <w:r>
              <w:rPr>
                <w:rFonts w:ascii="Times New Roman" w:hAnsi="Times New Roman" w:eastAsia="宋体"/>
              </w:rPr>
              <w:drawing>
                <wp:anchor distT="0" distB="0" distL="114300" distR="114300" simplePos="0" relativeHeight="251677696" behindDoc="0" locked="0" layoutInCell="1" allowOverlap="1">
                  <wp:simplePos x="0" y="0"/>
                  <wp:positionH relativeFrom="column">
                    <wp:posOffset>182880</wp:posOffset>
                  </wp:positionH>
                  <wp:positionV relativeFrom="paragraph">
                    <wp:posOffset>257175</wp:posOffset>
                  </wp:positionV>
                  <wp:extent cx="2797175" cy="2095500"/>
                  <wp:effectExtent l="0" t="0" r="3175" b="0"/>
                  <wp:wrapNone/>
                  <wp:docPr id="42" name="图片 10" descr="IMG_20180622_100637"/>
                  <wp:cNvGraphicFramePr/>
                  <a:graphic xmlns:a="http://schemas.openxmlformats.org/drawingml/2006/main">
                    <a:graphicData uri="http://schemas.openxmlformats.org/drawingml/2006/picture">
                      <pic:pic xmlns:pic="http://schemas.openxmlformats.org/drawingml/2006/picture">
                        <pic:nvPicPr>
                          <pic:cNvPr id="42" name="图片 10" descr="IMG_20180622_100637"/>
                          <pic:cNvPicPr preferRelativeResize="0"/>
                        </pic:nvPicPr>
                        <pic:blipFill>
                          <a:blip r:embed="rId7"/>
                          <a:stretch>
                            <a:fillRect/>
                          </a:stretch>
                        </pic:blipFill>
                        <pic:spPr>
                          <a:xfrm>
                            <a:off x="0" y="0"/>
                            <a:ext cx="2797175" cy="2095500"/>
                          </a:xfrm>
                          <a:prstGeom prst="rect">
                            <a:avLst/>
                          </a:prstGeom>
                          <a:noFill/>
                          <a:ln>
                            <a:noFill/>
                          </a:ln>
                        </pic:spPr>
                      </pic:pic>
                    </a:graphicData>
                  </a:graphic>
                </wp:anchor>
              </w:drawing>
            </w:r>
          </w:p>
        </w:tc>
        <w:tc>
          <w:tcPr>
            <w:tcW w:w="5177" w:type="dxa"/>
            <w:vAlign w:val="center"/>
          </w:tcPr>
          <w:p>
            <w:pPr>
              <w:overflowPunct w:val="0"/>
              <w:autoSpaceDE w:val="0"/>
              <w:autoSpaceDN w:val="0"/>
              <w:jc w:val="center"/>
              <w:rPr>
                <w:rFonts w:ascii="Times New Roman" w:hAnsi="Times New Roman" w:eastAsia="宋体"/>
                <w:color w:val="auto"/>
              </w:rPr>
            </w:pPr>
          </w:p>
          <w:p>
            <w:pPr>
              <w:pStyle w:val="4"/>
              <w:rPr>
                <w:rFonts w:ascii="Times New Roman" w:hAnsi="Times New Roman" w:eastAsia="宋体"/>
                <w:color w:val="auto"/>
              </w:rPr>
            </w:pPr>
            <w:r>
              <w:rPr>
                <w:rFonts w:ascii="Times New Roman" w:hAnsi="Times New Roman" w:eastAsia="宋体"/>
                <w:color w:val="auto"/>
              </w:rPr>
              <w:drawing>
                <wp:anchor distT="0" distB="0" distL="114300" distR="114300" simplePos="0" relativeHeight="251671552" behindDoc="0" locked="0" layoutInCell="1" allowOverlap="1">
                  <wp:simplePos x="0" y="0"/>
                  <wp:positionH relativeFrom="column">
                    <wp:posOffset>170815</wp:posOffset>
                  </wp:positionH>
                  <wp:positionV relativeFrom="paragraph">
                    <wp:posOffset>135890</wp:posOffset>
                  </wp:positionV>
                  <wp:extent cx="2797175" cy="2095500"/>
                  <wp:effectExtent l="0" t="0" r="3175" b="0"/>
                  <wp:wrapNone/>
                  <wp:docPr id="3" name="图片 36" descr="IMG_20180622_100605"/>
                  <wp:cNvGraphicFramePr/>
                  <a:graphic xmlns:a="http://schemas.openxmlformats.org/drawingml/2006/main">
                    <a:graphicData uri="http://schemas.openxmlformats.org/drawingml/2006/picture">
                      <pic:pic xmlns:pic="http://schemas.openxmlformats.org/drawingml/2006/picture">
                        <pic:nvPicPr>
                          <pic:cNvPr id="3" name="图片 36" descr="IMG_20180622_100605"/>
                          <pic:cNvPicPr preferRelativeResize="0"/>
                        </pic:nvPicPr>
                        <pic:blipFill>
                          <a:blip r:embed="rId8"/>
                          <a:stretch>
                            <a:fillRect/>
                          </a:stretch>
                        </pic:blipFill>
                        <pic:spPr>
                          <a:xfrm>
                            <a:off x="0" y="0"/>
                            <a:ext cx="2797175" cy="2095500"/>
                          </a:xfrm>
                          <a:prstGeom prst="rect">
                            <a:avLst/>
                          </a:prstGeom>
                          <a:noFill/>
                          <a:ln>
                            <a:noFill/>
                          </a:ln>
                        </pic:spPr>
                      </pic:pic>
                    </a:graphicData>
                  </a:graphic>
                </wp:anchor>
              </w:drawing>
            </w:r>
          </w:p>
          <w:p>
            <w:pPr>
              <w:rPr>
                <w:rFonts w:ascii="Times New Roman" w:hAnsi="Times New Roman" w:eastAsia="宋体"/>
                <w:color w:val="auto"/>
              </w:rPr>
            </w:pPr>
          </w:p>
          <w:p>
            <w:pPr>
              <w:pStyle w:val="4"/>
              <w:rPr>
                <w:rFonts w:ascii="Times New Roman" w:hAnsi="Times New Roman" w:eastAsia="宋体"/>
                <w:color w:val="auto"/>
              </w:rPr>
            </w:pPr>
          </w:p>
          <w:p>
            <w:pPr>
              <w:rPr>
                <w:rFonts w:ascii="Times New Roman" w:hAnsi="Times New Roman" w:eastAsia="宋体"/>
                <w:color w:val="auto"/>
              </w:rPr>
            </w:pPr>
          </w:p>
          <w:p>
            <w:pPr>
              <w:pStyle w:val="4"/>
              <w:rPr>
                <w:rFonts w:ascii="Times New Roman" w:hAnsi="Times New Roman" w:eastAsia="宋体"/>
                <w:color w:val="auto"/>
              </w:rPr>
            </w:pPr>
          </w:p>
        </w:tc>
      </w:tr>
      <w:tr>
        <w:tblPrEx>
          <w:tblCellMar>
            <w:top w:w="0" w:type="dxa"/>
            <w:left w:w="108" w:type="dxa"/>
            <w:bottom w:w="0" w:type="dxa"/>
            <w:right w:w="108" w:type="dxa"/>
          </w:tblCellMar>
        </w:tblPrEx>
        <w:trPr>
          <w:jc w:val="center"/>
        </w:trPr>
        <w:tc>
          <w:tcPr>
            <w:tcW w:w="5177" w:type="dxa"/>
            <w:vAlign w:val="center"/>
          </w:tcPr>
          <w:p>
            <w:pPr>
              <w:overflowPunct w:val="0"/>
              <w:autoSpaceDE w:val="0"/>
              <w:autoSpaceDN w:val="0"/>
              <w:jc w:val="center"/>
              <w:rPr>
                <w:rFonts w:ascii="Times New Roman" w:hAnsi="Times New Roman" w:eastAsia="宋体" w:cs="Times New Roman"/>
                <w:bCs/>
                <w:color w:val="auto"/>
                <w:sz w:val="24"/>
                <w:szCs w:val="24"/>
                <w:highlight w:val="yellow"/>
              </w:rPr>
            </w:pPr>
            <w:r>
              <w:rPr>
                <w:rFonts w:ascii="Times New Roman" w:hAnsi="Times New Roman" w:eastAsia="宋体" w:cs="Times New Roman"/>
                <w:bCs/>
                <w:color w:val="auto"/>
                <w:sz w:val="24"/>
                <w:szCs w:val="24"/>
              </w:rPr>
              <w:t>厂区南侧</w:t>
            </w:r>
          </w:p>
        </w:tc>
        <w:tc>
          <w:tcPr>
            <w:tcW w:w="5177" w:type="dxa"/>
            <w:vAlign w:val="center"/>
          </w:tcPr>
          <w:p>
            <w:pPr>
              <w:overflowPunct w:val="0"/>
              <w:autoSpaceDE w:val="0"/>
              <w:autoSpaceDN w:val="0"/>
              <w:jc w:val="center"/>
              <w:rPr>
                <w:rFonts w:ascii="Times New Roman" w:hAnsi="Times New Roman" w:eastAsia="宋体" w:cs="Times New Roman"/>
                <w:bCs/>
                <w:color w:val="auto"/>
                <w:sz w:val="24"/>
                <w:szCs w:val="24"/>
                <w:highlight w:val="yellow"/>
              </w:rPr>
            </w:pPr>
            <w:r>
              <w:rPr>
                <w:rFonts w:ascii="Times New Roman" w:hAnsi="Times New Roman" w:eastAsia="宋体" w:cs="Times New Roman"/>
                <w:bCs/>
                <w:color w:val="auto"/>
                <w:sz w:val="24"/>
                <w:szCs w:val="24"/>
              </w:rPr>
              <w:t>厂区东侧</w:t>
            </w:r>
          </w:p>
        </w:tc>
      </w:tr>
    </w:tbl>
    <w:p>
      <w:pPr>
        <w:rPr>
          <w:rFonts w:ascii="Times New Roman" w:hAnsi="Times New Roman" w:eastAsia="宋体" w:cs="Times New Roman"/>
          <w:color w:val="auto"/>
        </w:rPr>
      </w:pPr>
    </w:p>
    <w:p>
      <w:pPr>
        <w:pStyle w:val="4"/>
        <w:rPr>
          <w:rFonts w:ascii="Times New Roman" w:hAnsi="Times New Roman" w:eastAsia="宋体" w:cs="Times New Roman"/>
          <w:color w:val="auto"/>
        </w:rPr>
      </w:pPr>
    </w:p>
    <w:p>
      <w:pPr>
        <w:rPr>
          <w:rFonts w:ascii="Times New Roman" w:hAnsi="Times New Roman" w:eastAsia="宋体" w:cs="Times New Roman"/>
          <w:color w:val="auto"/>
        </w:rPr>
      </w:pPr>
    </w:p>
    <w:p>
      <w:pPr>
        <w:pStyle w:val="2"/>
        <w:rPr>
          <w:rFonts w:ascii="Times New Roman" w:hAnsi="Times New Roman" w:eastAsia="宋体" w:cs="Times New Roman"/>
          <w:color w:val="auto"/>
        </w:rPr>
      </w:pPr>
    </w:p>
    <w:p/>
    <w:p>
      <w:pPr>
        <w:rPr>
          <w:rFonts w:ascii="Times New Roman" w:hAnsi="Times New Roman" w:eastAsia="宋体" w:cs="Times New Roman"/>
          <w:color w:val="auto"/>
        </w:rPr>
      </w:pPr>
    </w:p>
    <w:p>
      <w:pPr>
        <w:pStyle w:val="2"/>
      </w:pPr>
    </w:p>
    <w:p>
      <w:pPr>
        <w:rPr>
          <w:rFonts w:ascii="Times New Roman" w:hAnsi="Times New Roman" w:eastAsia="宋体" w:cs="Times New Roman"/>
          <w:color w:val="auto"/>
        </w:rPr>
      </w:pPr>
    </w:p>
    <w:p>
      <w:pPr>
        <w:rPr>
          <w:rFonts w:ascii="Times New Roman" w:hAnsi="Times New Roman" w:eastAsia="宋体"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keepNext/>
        <w:numPr>
          <w:ilvl w:val="0"/>
          <w:numId w:val="1"/>
        </w:numPr>
        <w:overflowPunct w:val="0"/>
        <w:snapToGrid w:val="0"/>
        <w:spacing w:before="156" w:beforeLines="50" w:after="156" w:afterLines="50"/>
        <w:jc w:val="center"/>
        <w:outlineLvl w:val="0"/>
        <w:rPr>
          <w:rFonts w:ascii="Times New Roman" w:hAnsi="Times New Roman" w:eastAsia="宋体" w:cs="Times New Roman"/>
          <w:color w:val="auto"/>
          <w:kern w:val="44"/>
          <w:sz w:val="30"/>
          <w:szCs w:val="30"/>
        </w:rPr>
      </w:pPr>
      <w:r>
        <w:rPr>
          <w:rFonts w:ascii="Times New Roman" w:hAnsi="Times New Roman" w:eastAsia="宋体" w:cs="Times New Roman"/>
          <w:color w:val="auto"/>
          <w:kern w:val="44"/>
          <w:sz w:val="30"/>
          <w:szCs w:val="30"/>
        </w:rPr>
        <w:t>建设项目基本情况</w:t>
      </w:r>
    </w:p>
    <w:tbl>
      <w:tblPr>
        <w:tblStyle w:val="21"/>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2"/>
        <w:gridCol w:w="2840"/>
        <w:gridCol w:w="2154"/>
        <w:gridCol w:w="3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建设项目名称</w:t>
            </w:r>
          </w:p>
        </w:tc>
        <w:tc>
          <w:tcPr>
            <w:tcW w:w="8063" w:type="dxa"/>
            <w:gridSpan w:val="3"/>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bidi="zh-CN"/>
              </w:rPr>
              <w:t>柳林县鑫创设备再制造科技有限公司矿山设备加工及维修项目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项目代码</w:t>
            </w:r>
          </w:p>
        </w:tc>
        <w:tc>
          <w:tcPr>
            <w:tcW w:w="8063" w:type="dxa"/>
            <w:gridSpan w:val="3"/>
            <w:vAlign w:val="center"/>
          </w:tcPr>
          <w:p>
            <w:pPr>
              <w:spacing w:line="400" w:lineRule="exact"/>
              <w:jc w:val="center"/>
              <w:rPr>
                <w:rFonts w:hint="eastAsia" w:ascii="Times New Roman" w:hAnsi="Times New Roman" w:eastAsia="宋体" w:cs="Times New Roman"/>
                <w:color w:val="auto"/>
                <w:kern w:val="0"/>
                <w:sz w:val="24"/>
                <w:szCs w:val="24"/>
                <w:lang w:eastAsia="zh-CN"/>
              </w:rPr>
            </w:pPr>
            <w:r>
              <w:rPr>
                <w:rFonts w:ascii="Times New Roman" w:hAnsi="Times New Roman" w:eastAsia="宋体" w:cs="Times New Roman"/>
                <w:color w:val="auto"/>
                <w:kern w:val="0"/>
                <w:sz w:val="24"/>
                <w:szCs w:val="24"/>
              </w:rPr>
              <w:t>2102-141125-89-01-</w:t>
            </w:r>
            <w:r>
              <w:rPr>
                <w:rFonts w:hint="eastAsia" w:ascii="Times New Roman" w:hAnsi="Times New Roman" w:eastAsia="宋体" w:cs="Times New Roman"/>
                <w:color w:val="auto"/>
                <w:kern w:val="0"/>
                <w:sz w:val="24"/>
                <w:szCs w:val="24"/>
                <w:lang w:eastAsia="zh-CN"/>
              </w:rPr>
              <w:t>351822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建设单位联系人</w:t>
            </w:r>
          </w:p>
        </w:tc>
        <w:tc>
          <w:tcPr>
            <w:tcW w:w="2840"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郭策剑</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联系方式</w:t>
            </w:r>
          </w:p>
        </w:tc>
        <w:tc>
          <w:tcPr>
            <w:tcW w:w="3069"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18234818880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建设地点</w:t>
            </w:r>
          </w:p>
        </w:tc>
        <w:tc>
          <w:tcPr>
            <w:tcW w:w="8063" w:type="dxa"/>
            <w:gridSpan w:val="3"/>
            <w:vAlign w:val="center"/>
          </w:tcPr>
          <w:p>
            <w:pPr>
              <w:spacing w:line="400" w:lineRule="exact"/>
              <w:jc w:val="center"/>
              <w:rPr>
                <w:rFonts w:hint="eastAsia" w:ascii="Times New Roman" w:hAnsi="Times New Roman" w:eastAsia="宋体" w:cs="Times New Roman"/>
                <w:color w:val="auto"/>
                <w:kern w:val="0"/>
                <w:sz w:val="24"/>
                <w:szCs w:val="24"/>
                <w:lang w:eastAsia="zh-CN"/>
              </w:rPr>
            </w:pPr>
            <w:r>
              <w:rPr>
                <w:rFonts w:ascii="Times New Roman" w:hAnsi="Times New Roman" w:eastAsia="宋体" w:cs="Times New Roman"/>
                <w:color w:val="auto"/>
                <w:kern w:val="0"/>
                <w:sz w:val="24"/>
                <w:szCs w:val="24"/>
              </w:rPr>
              <w:t>山西省吕梁市柳林县</w:t>
            </w:r>
            <w:r>
              <w:rPr>
                <w:rFonts w:hint="eastAsia" w:ascii="Times New Roman" w:hAnsi="Times New Roman" w:eastAsia="宋体" w:cs="Times New Roman"/>
                <w:color w:val="auto"/>
                <w:kern w:val="0"/>
                <w:sz w:val="24"/>
                <w:szCs w:val="24"/>
                <w:lang w:eastAsia="zh-CN"/>
              </w:rPr>
              <w:t>柳林镇穆家焉村聚鸦公路向北5km处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地理坐标</w:t>
            </w:r>
          </w:p>
        </w:tc>
        <w:tc>
          <w:tcPr>
            <w:tcW w:w="8063" w:type="dxa"/>
            <w:gridSpan w:val="3"/>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u w:val="single"/>
              </w:rPr>
              <w:t>110</w:t>
            </w:r>
            <w:r>
              <w:rPr>
                <w:rFonts w:ascii="Times New Roman" w:hAnsi="Times New Roman" w:eastAsia="宋体" w:cs="Times New Roman"/>
                <w:color w:val="auto"/>
                <w:kern w:val="0"/>
                <w:sz w:val="24"/>
                <w:szCs w:val="24"/>
              </w:rPr>
              <w:t>度</w:t>
            </w:r>
            <w:r>
              <w:rPr>
                <w:rFonts w:hint="eastAsia" w:ascii="Times New Roman" w:hAnsi="Times New Roman" w:eastAsia="宋体" w:cs="Times New Roman"/>
                <w:color w:val="auto"/>
                <w:kern w:val="0"/>
                <w:sz w:val="24"/>
                <w:szCs w:val="24"/>
                <w:u w:val="single"/>
                <w:lang w:val="en-US" w:eastAsia="zh-CN"/>
              </w:rPr>
              <w:t>55</w:t>
            </w:r>
            <w:r>
              <w:rPr>
                <w:rFonts w:ascii="Times New Roman" w:hAnsi="Times New Roman" w:eastAsia="宋体" w:cs="Times New Roman"/>
                <w:color w:val="auto"/>
                <w:kern w:val="0"/>
                <w:sz w:val="24"/>
                <w:szCs w:val="24"/>
              </w:rPr>
              <w:t>分</w:t>
            </w:r>
            <w:r>
              <w:rPr>
                <w:rFonts w:hint="eastAsia" w:ascii="Times New Roman" w:hAnsi="Times New Roman" w:eastAsia="宋体" w:cs="Times New Roman"/>
                <w:color w:val="auto"/>
                <w:kern w:val="0"/>
                <w:sz w:val="24"/>
                <w:szCs w:val="24"/>
                <w:u w:val="single"/>
                <w:lang w:val="en-US" w:eastAsia="zh-CN"/>
              </w:rPr>
              <w:t>42</w:t>
            </w:r>
            <w:r>
              <w:rPr>
                <w:rFonts w:ascii="Times New Roman" w:hAnsi="Times New Roman" w:eastAsia="宋体" w:cs="Times New Roman"/>
                <w:color w:val="auto"/>
                <w:kern w:val="0"/>
                <w:sz w:val="24"/>
                <w:szCs w:val="24"/>
                <w:u w:val="single"/>
              </w:rPr>
              <w:t>.6</w:t>
            </w:r>
            <w:r>
              <w:rPr>
                <w:rFonts w:hint="eastAsia" w:ascii="Times New Roman" w:hAnsi="Times New Roman" w:eastAsia="宋体" w:cs="Times New Roman"/>
                <w:color w:val="auto"/>
                <w:kern w:val="0"/>
                <w:sz w:val="24"/>
                <w:szCs w:val="24"/>
                <w:u w:val="single"/>
                <w:lang w:val="en-US" w:eastAsia="zh-CN"/>
              </w:rPr>
              <w:t>61</w:t>
            </w:r>
            <w:r>
              <w:rPr>
                <w:rFonts w:ascii="Times New Roman" w:hAnsi="Times New Roman" w:eastAsia="宋体" w:cs="Times New Roman"/>
                <w:color w:val="auto"/>
                <w:kern w:val="0"/>
                <w:sz w:val="24"/>
                <w:szCs w:val="24"/>
              </w:rPr>
              <w:t>秒E、</w:t>
            </w:r>
            <w:r>
              <w:rPr>
                <w:rFonts w:ascii="Times New Roman" w:hAnsi="Times New Roman" w:eastAsia="宋体" w:cs="Times New Roman"/>
                <w:color w:val="auto"/>
                <w:kern w:val="0"/>
                <w:sz w:val="24"/>
                <w:szCs w:val="24"/>
                <w:u w:val="single"/>
              </w:rPr>
              <w:t>37</w:t>
            </w:r>
            <w:r>
              <w:rPr>
                <w:rFonts w:ascii="Times New Roman" w:hAnsi="Times New Roman" w:eastAsia="宋体" w:cs="Times New Roman"/>
                <w:color w:val="auto"/>
                <w:kern w:val="0"/>
                <w:sz w:val="24"/>
                <w:szCs w:val="24"/>
              </w:rPr>
              <w:t>度</w:t>
            </w:r>
            <w:r>
              <w:rPr>
                <w:rFonts w:ascii="Times New Roman" w:hAnsi="Times New Roman" w:eastAsia="宋体" w:cs="Times New Roman"/>
                <w:color w:val="auto"/>
                <w:kern w:val="0"/>
                <w:sz w:val="24"/>
                <w:szCs w:val="24"/>
                <w:u w:val="single"/>
              </w:rPr>
              <w:t>2</w:t>
            </w:r>
            <w:r>
              <w:rPr>
                <w:rFonts w:hint="eastAsia" w:ascii="Times New Roman" w:hAnsi="Times New Roman" w:eastAsia="宋体" w:cs="Times New Roman"/>
                <w:color w:val="auto"/>
                <w:kern w:val="0"/>
                <w:sz w:val="24"/>
                <w:szCs w:val="24"/>
                <w:u w:val="single"/>
                <w:lang w:val="en-US" w:eastAsia="zh-CN"/>
              </w:rPr>
              <w:t>9</w:t>
            </w:r>
            <w:r>
              <w:rPr>
                <w:rFonts w:ascii="Times New Roman" w:hAnsi="Times New Roman" w:eastAsia="宋体" w:cs="Times New Roman"/>
                <w:color w:val="auto"/>
                <w:kern w:val="0"/>
                <w:sz w:val="24"/>
                <w:szCs w:val="24"/>
              </w:rPr>
              <w:t>分</w:t>
            </w:r>
            <w:r>
              <w:rPr>
                <w:rFonts w:hint="eastAsia" w:ascii="Times New Roman" w:hAnsi="Times New Roman" w:eastAsia="宋体" w:cs="Times New Roman"/>
                <w:color w:val="auto"/>
                <w:kern w:val="0"/>
                <w:sz w:val="24"/>
                <w:szCs w:val="24"/>
                <w:u w:val="single"/>
                <w:lang w:val="en-US" w:eastAsia="zh-CN"/>
              </w:rPr>
              <w:t>26</w:t>
            </w:r>
            <w:r>
              <w:rPr>
                <w:rFonts w:ascii="Times New Roman" w:hAnsi="Times New Roman" w:eastAsia="宋体" w:cs="Times New Roman"/>
                <w:color w:val="auto"/>
                <w:kern w:val="0"/>
                <w:sz w:val="24"/>
                <w:szCs w:val="24"/>
                <w:u w:val="single"/>
              </w:rPr>
              <w:t>.</w:t>
            </w:r>
            <w:r>
              <w:rPr>
                <w:rFonts w:hint="eastAsia" w:ascii="Times New Roman" w:hAnsi="Times New Roman" w:eastAsia="宋体" w:cs="Times New Roman"/>
                <w:color w:val="auto"/>
                <w:kern w:val="0"/>
                <w:sz w:val="24"/>
                <w:szCs w:val="24"/>
                <w:u w:val="single"/>
                <w:lang w:val="en-US" w:eastAsia="zh-CN"/>
              </w:rPr>
              <w:t>618</w:t>
            </w:r>
            <w:r>
              <w:rPr>
                <w:rFonts w:ascii="Times New Roman" w:hAnsi="Times New Roman" w:eastAsia="宋体" w:cs="Times New Roman"/>
                <w:color w:val="auto"/>
                <w:kern w:val="0"/>
                <w:sz w:val="24"/>
                <w:szCs w:val="24"/>
              </w:rPr>
              <w:t>秒N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国民经济行业类别</w:t>
            </w:r>
          </w:p>
        </w:tc>
        <w:tc>
          <w:tcPr>
            <w:tcW w:w="2840"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olor w:val="auto"/>
                <w:sz w:val="24"/>
              </w:rPr>
              <w:t>C43金属制品、机械和设备修理业</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建设项目行业类别</w:t>
            </w:r>
          </w:p>
        </w:tc>
        <w:tc>
          <w:tcPr>
            <w:tcW w:w="3069" w:type="dxa"/>
            <w:vAlign w:val="center"/>
          </w:tcPr>
          <w:p>
            <w:pPr>
              <w:spacing w:line="400" w:lineRule="exact"/>
              <w:jc w:val="center"/>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四十</w:t>
            </w:r>
            <w:r>
              <w:rPr>
                <w:rFonts w:ascii="Times New Roman" w:hAnsi="Times New Roman" w:eastAsia="宋体" w:cs="Times New Roman"/>
                <w:color w:val="auto"/>
                <w:kern w:val="0"/>
                <w:sz w:val="24"/>
                <w:szCs w:val="24"/>
              </w:rPr>
              <w:t>_</w:t>
            </w:r>
            <w:r>
              <w:rPr>
                <w:rFonts w:hint="eastAsia" w:ascii="Times New Roman" w:hAnsi="Times New Roman" w:eastAsia="宋体" w:cs="Times New Roman"/>
                <w:color w:val="auto"/>
                <w:kern w:val="0"/>
                <w:sz w:val="24"/>
                <w:szCs w:val="24"/>
                <w:lang w:val="en-US" w:eastAsia="zh-CN"/>
              </w:rPr>
              <w:t>86专用设备修理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建设性质</w:t>
            </w:r>
          </w:p>
        </w:tc>
        <w:tc>
          <w:tcPr>
            <w:tcW w:w="2840" w:type="dxa"/>
            <w:vAlign w:val="center"/>
          </w:tcPr>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FE"/>
            </w:r>
            <w:r>
              <w:rPr>
                <w:rFonts w:ascii="Times New Roman" w:hAnsi="Times New Roman" w:eastAsia="宋体" w:cs="Times New Roman"/>
                <w:color w:val="auto"/>
                <w:kern w:val="0"/>
                <w:sz w:val="24"/>
                <w:szCs w:val="24"/>
              </w:rPr>
              <w:t>新建（迁建）</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改建</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扩建</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技术改造</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建设项目申报情形</w:t>
            </w:r>
          </w:p>
        </w:tc>
        <w:tc>
          <w:tcPr>
            <w:tcW w:w="3069" w:type="dxa"/>
            <w:vAlign w:val="center"/>
          </w:tcPr>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FE"/>
            </w:r>
            <w:r>
              <w:rPr>
                <w:rFonts w:ascii="Times New Roman" w:hAnsi="Times New Roman" w:eastAsia="宋体" w:cs="Times New Roman"/>
                <w:color w:val="auto"/>
                <w:kern w:val="0"/>
                <w:sz w:val="24"/>
                <w:szCs w:val="24"/>
              </w:rPr>
              <w:t>首次申报项目</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不予批准后再次申报项目</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超五年重新审核项目</w:t>
            </w:r>
          </w:p>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项目备案部门</w:t>
            </w:r>
          </w:p>
        </w:tc>
        <w:tc>
          <w:tcPr>
            <w:tcW w:w="2840"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shd w:val="clear" w:color="auto" w:fill="FFFFFF"/>
              </w:rPr>
              <w:t>柳林县行政审批服务管理局</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项目备案文号</w:t>
            </w:r>
          </w:p>
        </w:tc>
        <w:tc>
          <w:tcPr>
            <w:tcW w:w="3069" w:type="dxa"/>
            <w:vAlign w:val="center"/>
          </w:tcPr>
          <w:p>
            <w:pPr>
              <w:spacing w:line="400" w:lineRule="exact"/>
              <w:jc w:val="center"/>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总投资</w:t>
            </w:r>
          </w:p>
        </w:tc>
        <w:tc>
          <w:tcPr>
            <w:tcW w:w="2840"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2</w:t>
            </w:r>
            <w:r>
              <w:rPr>
                <w:rFonts w:ascii="Times New Roman" w:hAnsi="Times New Roman" w:eastAsia="宋体" w:cs="Times New Roman"/>
                <w:color w:val="auto"/>
                <w:kern w:val="0"/>
                <w:sz w:val="24"/>
                <w:szCs w:val="24"/>
              </w:rPr>
              <w:t>000万元</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环保投资</w:t>
            </w:r>
          </w:p>
        </w:tc>
        <w:tc>
          <w:tcPr>
            <w:tcW w:w="3069"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20</w:t>
            </w:r>
            <w:r>
              <w:rPr>
                <w:rFonts w:ascii="Times New Roman" w:hAnsi="Times New Roman" w:eastAsia="宋体" w:cs="Times New Roman"/>
                <w:color w:val="auto"/>
                <w:kern w:val="0"/>
                <w:sz w:val="24"/>
                <w:szCs w:val="24"/>
              </w:rPr>
              <w:t>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环保投资占比</w:t>
            </w:r>
          </w:p>
        </w:tc>
        <w:tc>
          <w:tcPr>
            <w:tcW w:w="2840" w:type="dxa"/>
            <w:vAlign w:val="center"/>
          </w:tcPr>
          <w:p>
            <w:pPr>
              <w:spacing w:line="400" w:lineRule="exact"/>
              <w:jc w:val="center"/>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10</w:t>
            </w:r>
            <w:r>
              <w:rPr>
                <w:rFonts w:ascii="Times New Roman" w:hAnsi="Times New Roman" w:eastAsia="宋体" w:cs="Times New Roman"/>
                <w:color w:val="auto"/>
                <w:kern w:val="0"/>
                <w:sz w:val="24"/>
                <w:szCs w:val="24"/>
              </w:rPr>
              <w:t>%</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施工工期</w:t>
            </w:r>
          </w:p>
        </w:tc>
        <w:tc>
          <w:tcPr>
            <w:tcW w:w="3069" w:type="dxa"/>
            <w:vAlign w:val="center"/>
          </w:tcPr>
          <w:p>
            <w:pPr>
              <w:spacing w:line="400" w:lineRule="exact"/>
              <w:jc w:val="center"/>
              <w:rPr>
                <w:rFonts w:ascii="Times New Roman" w:hAnsi="Times New Roman" w:eastAsia="宋体" w:cs="Times New Roman"/>
                <w:color w:val="auto"/>
                <w:kern w:val="0"/>
                <w:sz w:val="24"/>
                <w:szCs w:val="24"/>
                <w:highlight w:val="green"/>
              </w:rPr>
            </w:pPr>
            <w:r>
              <w:rPr>
                <w:rFonts w:ascii="Times New Roman" w:hAnsi="Times New Roman" w:eastAsia="宋体" w:cs="Times New Roman"/>
                <w:color w:val="auto"/>
                <w:kern w:val="0"/>
                <w:sz w:val="24"/>
                <w:szCs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是否开工建设</w:t>
            </w:r>
          </w:p>
        </w:tc>
        <w:tc>
          <w:tcPr>
            <w:tcW w:w="2840" w:type="dxa"/>
            <w:vAlign w:val="center"/>
          </w:tcPr>
          <w:p>
            <w:pPr>
              <w:spacing w:line="400" w:lineRule="exact"/>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sym w:font="Wingdings" w:char="00FE"/>
            </w:r>
            <w:r>
              <w:rPr>
                <w:rFonts w:ascii="Times New Roman" w:hAnsi="Times New Roman" w:eastAsia="宋体" w:cs="Times New Roman"/>
                <w:color w:val="auto"/>
                <w:kern w:val="0"/>
                <w:sz w:val="24"/>
                <w:szCs w:val="24"/>
              </w:rPr>
              <w:t>否</w:t>
            </w:r>
          </w:p>
          <w:p>
            <w:pPr>
              <w:spacing w:line="400" w:lineRule="exact"/>
              <w:rPr>
                <w:rFonts w:hint="eastAsia" w:ascii="Times New Roman" w:hAnsi="Times New Roman" w:eastAsia="宋体" w:cs="Times New Roman"/>
                <w:color w:val="auto"/>
                <w:kern w:val="0"/>
                <w:sz w:val="24"/>
                <w:szCs w:val="24"/>
                <w:lang w:eastAsia="zh-CN"/>
              </w:rPr>
            </w:pPr>
            <w:r>
              <w:rPr>
                <w:rFonts w:ascii="Times New Roman" w:hAnsi="Times New Roman" w:eastAsia="宋体" w:cs="Times New Roman"/>
                <w:color w:val="auto"/>
                <w:kern w:val="0"/>
                <w:sz w:val="24"/>
                <w:szCs w:val="24"/>
              </w:rPr>
              <w:sym w:font="Wingdings" w:char="00A8"/>
            </w:r>
            <w:r>
              <w:rPr>
                <w:rFonts w:ascii="Times New Roman" w:hAnsi="Times New Roman" w:eastAsia="宋体" w:cs="Times New Roman"/>
                <w:color w:val="auto"/>
                <w:kern w:val="0"/>
                <w:sz w:val="24"/>
                <w:szCs w:val="24"/>
              </w:rPr>
              <w:t>是：</w:t>
            </w:r>
          </w:p>
        </w:tc>
        <w:tc>
          <w:tcPr>
            <w:tcW w:w="2154"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用地（用海）面积</w:t>
            </w:r>
          </w:p>
        </w:tc>
        <w:tc>
          <w:tcPr>
            <w:tcW w:w="3069" w:type="dxa"/>
            <w:vAlign w:val="center"/>
          </w:tcPr>
          <w:p>
            <w:pPr>
              <w:spacing w:line="400" w:lineRule="exact"/>
              <w:jc w:val="center"/>
              <w:rPr>
                <w:rFonts w:hint="default" w:ascii="Times New Roman" w:hAnsi="Times New Roman" w:eastAsia="宋体" w:cs="Times New Roman"/>
                <w:color w:val="auto"/>
                <w:kern w:val="0"/>
                <w:sz w:val="24"/>
                <w:szCs w:val="24"/>
                <w:lang w:val="en-US"/>
              </w:rPr>
            </w:pPr>
            <w:r>
              <w:rPr>
                <w:rFonts w:hint="eastAsia" w:ascii="Times New Roman" w:hAnsi="Times New Roman" w:eastAsia="宋体" w:cs="Times New Roman"/>
                <w:color w:val="auto"/>
                <w:kern w:val="0"/>
                <w:sz w:val="24"/>
                <w:szCs w:val="24"/>
                <w:lang w:val="en-US" w:eastAsia="zh-CN"/>
              </w:rPr>
              <w:t>30亩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2142" w:type="dxa"/>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专项评价设置情况</w:t>
            </w:r>
          </w:p>
        </w:tc>
        <w:tc>
          <w:tcPr>
            <w:tcW w:w="8063" w:type="dxa"/>
            <w:gridSpan w:val="3"/>
            <w:vAlign w:val="center"/>
          </w:tcPr>
          <w:p>
            <w:pPr>
              <w:spacing w:line="40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jc w:val="center"/>
        </w:trPr>
        <w:tc>
          <w:tcPr>
            <w:tcW w:w="2142" w:type="dxa"/>
            <w:vAlign w:val="center"/>
          </w:tcPr>
          <w:p>
            <w:pPr>
              <w:spacing w:line="480" w:lineRule="exact"/>
              <w:jc w:val="center"/>
              <w:rPr>
                <w:rFonts w:ascii="Times New Roman" w:hAnsi="Times New Roman" w:eastAsia="宋体" w:cs="Times New Roman"/>
                <w:color w:val="auto"/>
                <w:kern w:val="0"/>
                <w:sz w:val="24"/>
                <w:szCs w:val="24"/>
                <w:highlight w:val="green"/>
              </w:rPr>
            </w:pPr>
            <w:r>
              <w:rPr>
                <w:rFonts w:ascii="Times New Roman" w:hAnsi="Times New Roman" w:eastAsia="宋体" w:cs="Times New Roman"/>
                <w:color w:val="auto"/>
                <w:kern w:val="0"/>
                <w:sz w:val="24"/>
                <w:szCs w:val="24"/>
              </w:rPr>
              <w:t>规划情况</w:t>
            </w:r>
          </w:p>
        </w:tc>
        <w:tc>
          <w:tcPr>
            <w:tcW w:w="8063"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outlineLvl w:val="9"/>
              <w:rPr>
                <w:rFonts w:hint="eastAsia" w:ascii="Times New Roman" w:hAnsi="Times New Roman" w:eastAsia="宋体" w:cs="Times New Roman"/>
                <w:color w:val="auto"/>
                <w:kern w:val="0"/>
                <w:sz w:val="24"/>
                <w:szCs w:val="24"/>
                <w:highlight w:val="yellow"/>
                <w:lang w:eastAsia="zh-CN"/>
              </w:rPr>
            </w:pPr>
            <w:r>
              <w:rPr>
                <w:rFonts w:hint="eastAsia" w:ascii="Times New Roman" w:hAnsi="Times New Roman" w:eastAsia="宋体" w:cs="Times New Roman"/>
                <w:color w:val="auto"/>
                <w:kern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0" w:hRule="atLeast"/>
          <w:jc w:val="center"/>
        </w:trPr>
        <w:tc>
          <w:tcPr>
            <w:tcW w:w="2142" w:type="dxa"/>
            <w:vAlign w:val="center"/>
          </w:tcPr>
          <w:p>
            <w:pPr>
              <w:spacing w:line="480" w:lineRule="exact"/>
              <w:jc w:val="center"/>
              <w:rPr>
                <w:rFonts w:ascii="Times New Roman" w:hAnsi="Times New Roman" w:eastAsia="宋体" w:cs="Times New Roman"/>
                <w:color w:val="auto"/>
                <w:kern w:val="0"/>
                <w:sz w:val="24"/>
                <w:szCs w:val="24"/>
                <w:highlight w:val="green"/>
              </w:rPr>
            </w:pPr>
            <w:r>
              <w:rPr>
                <w:rFonts w:ascii="Times New Roman" w:hAnsi="Times New Roman" w:eastAsia="宋体" w:cs="Times New Roman"/>
                <w:color w:val="auto"/>
                <w:kern w:val="0"/>
                <w:sz w:val="24"/>
                <w:szCs w:val="24"/>
              </w:rPr>
              <w:t>规划环境影响评价情况</w:t>
            </w:r>
          </w:p>
        </w:tc>
        <w:tc>
          <w:tcPr>
            <w:tcW w:w="8063" w:type="dxa"/>
            <w:gridSpan w:val="3"/>
            <w:vAlign w:val="center"/>
          </w:tcPr>
          <w:p>
            <w:pPr>
              <w:spacing w:line="480" w:lineRule="exact"/>
              <w:ind w:firstLine="480" w:firstLineChars="200"/>
              <w:rPr>
                <w:rFonts w:hint="eastAsia" w:ascii="Times New Roman" w:hAnsi="Times New Roman" w:eastAsia="宋体" w:cs="Times New Roman"/>
                <w:color w:val="auto"/>
                <w:kern w:val="0"/>
                <w:sz w:val="24"/>
                <w:szCs w:val="24"/>
                <w:highlight w:val="none"/>
                <w:lang w:eastAsia="zh-CN"/>
              </w:rPr>
            </w:pPr>
            <w:r>
              <w:rPr>
                <w:rFonts w:hint="eastAsia" w:ascii="Times New Roman" w:hAnsi="Times New Roman" w:eastAsia="宋体" w:cs="Times New Roman"/>
                <w:color w:val="auto"/>
                <w:kern w:val="0"/>
                <w:sz w:val="24"/>
                <w:szCs w:val="24"/>
                <w:highlight w:val="none"/>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42" w:type="dxa"/>
            <w:vAlign w:val="center"/>
          </w:tcPr>
          <w:p>
            <w:pPr>
              <w:spacing w:line="480" w:lineRule="exact"/>
              <w:jc w:val="center"/>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规划及规划环境影响评价符合性分析</w:t>
            </w:r>
          </w:p>
        </w:tc>
        <w:tc>
          <w:tcPr>
            <w:tcW w:w="8063" w:type="dxa"/>
            <w:gridSpan w:val="3"/>
            <w:vAlign w:val="center"/>
          </w:tcPr>
          <w:p>
            <w:pPr>
              <w:spacing w:line="480" w:lineRule="exact"/>
              <w:ind w:firstLine="480" w:firstLineChars="200"/>
              <w:rPr>
                <w:rFonts w:hint="eastAsia" w:ascii="Times New Roman" w:hAnsi="Times New Roman" w:eastAsia="宋体" w:cs="Times New Roman"/>
                <w:color w:val="auto"/>
                <w:kern w:val="0"/>
                <w:sz w:val="24"/>
                <w:szCs w:val="24"/>
                <w:highlight w:val="none"/>
                <w:lang w:eastAsia="zh-CN"/>
              </w:rPr>
            </w:pPr>
            <w:r>
              <w:rPr>
                <w:rFonts w:hint="eastAsia" w:ascii="Times New Roman" w:hAnsi="Times New Roman" w:eastAsia="宋体" w:cs="Times New Roman"/>
                <w:color w:val="auto"/>
                <w:kern w:val="0"/>
                <w:sz w:val="24"/>
                <w:szCs w:val="24"/>
                <w:highlight w:val="none"/>
                <w:shd w:val="clear" w:color="auto" w:fill="FFFFFF"/>
                <w:lang w:val="en-US" w:eastAsia="zh-CN"/>
              </w:rPr>
              <w:t>/</w:t>
            </w:r>
          </w:p>
        </w:tc>
      </w:tr>
    </w:tbl>
    <w:p>
      <w:pPr>
        <w:rPr>
          <w:rFonts w:ascii="Times New Roman" w:hAnsi="Times New Roman" w:eastAsia="宋体" w:cs="Times New Roman"/>
          <w:color w:val="auto"/>
        </w:rPr>
        <w:sectPr>
          <w:footerReference r:id="rId3" w:type="default"/>
          <w:pgSz w:w="11906" w:h="16838"/>
          <w:pgMar w:top="1418" w:right="1418" w:bottom="1418"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0"/>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9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0" w:hRule="atLeast"/>
          <w:jc w:val="center"/>
        </w:trPr>
        <w:tc>
          <w:tcPr>
            <w:tcW w:w="467" w:type="dxa"/>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其他符合性分析</w:t>
            </w:r>
          </w:p>
        </w:tc>
        <w:tc>
          <w:tcPr>
            <w:tcW w:w="9738" w:type="dxa"/>
            <w:vAlign w:val="center"/>
          </w:tcPr>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（1）项目与“三线一单（生态保护红线、环境质量底线、资源利用上线和生态环境准入负面清单）”符合性分析</w:t>
            </w:r>
          </w:p>
          <w:p>
            <w:pPr>
              <w:widowControl/>
              <w:adjustRightInd w:val="0"/>
              <w:snapToGrid w:val="0"/>
              <w:spacing w:line="480" w:lineRule="exact"/>
              <w:jc w:val="center"/>
              <w:rPr>
                <w:rFonts w:ascii="Times New Roman" w:hAnsi="Times New Roman" w:eastAsia="宋体" w:cs="Times New Roman"/>
                <w:bCs/>
                <w:snapToGrid w:val="0"/>
                <w:color w:val="auto"/>
                <w:kern w:val="0"/>
                <w:szCs w:val="21"/>
              </w:rPr>
            </w:pPr>
            <w:r>
              <w:rPr>
                <w:rFonts w:ascii="Times New Roman" w:hAnsi="Times New Roman" w:eastAsia="宋体" w:cs="Times New Roman"/>
                <w:bCs/>
                <w:snapToGrid w:val="0"/>
                <w:color w:val="auto"/>
                <w:kern w:val="0"/>
                <w:szCs w:val="21"/>
              </w:rPr>
              <w:t>表1项目与“三线一单”符合性分析一览表</w:t>
            </w:r>
          </w:p>
          <w:tbl>
            <w:tblPr>
              <w:tblStyle w:val="20"/>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188"/>
              <w:gridCol w:w="6834"/>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序号</w:t>
                  </w:r>
                </w:p>
              </w:tc>
              <w:tc>
                <w:tcPr>
                  <w:tcW w:w="1188"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具体要求</w:t>
                  </w:r>
                </w:p>
              </w:tc>
              <w:tc>
                <w:tcPr>
                  <w:tcW w:w="683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本项目情况</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1188"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生态保护红线</w:t>
                  </w:r>
                </w:p>
              </w:tc>
              <w:tc>
                <w:tcPr>
                  <w:tcW w:w="6834"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本项目位于柳林县</w:t>
                  </w:r>
                  <w:r>
                    <w:rPr>
                      <w:rFonts w:hint="eastAsia" w:ascii="Times New Roman" w:hAnsi="Times New Roman" w:eastAsia="宋体" w:cs="Times New Roman"/>
                      <w:color w:val="auto"/>
                      <w:szCs w:val="21"/>
                      <w:lang w:eastAsia="zh-CN"/>
                    </w:rPr>
                    <w:t>柳林镇穆家焉村聚鸦公路向北5km处</w:t>
                  </w:r>
                  <w:r>
                    <w:rPr>
                      <w:rFonts w:ascii="Times New Roman" w:hAnsi="Times New Roman" w:eastAsia="宋体" w:cs="Times New Roman"/>
                      <w:color w:val="auto"/>
                      <w:szCs w:val="21"/>
                    </w:rPr>
                    <w:t>，按照国家环保部制定的《建设项目环境影响评价分类管理名录》中关于环境敏感因素的界定原则，本项目所在区域不涉及“自然保护区、风景名胜区、饮用水水源保护区、森林公园、地质公园和重要生态功能区、生态敏感区和脆弱区以及其他要求禁止建设的环境敏感区”。因此本项目的建设不违背生态红线保护要求。</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w:t>
                  </w:r>
                </w:p>
              </w:tc>
              <w:tc>
                <w:tcPr>
                  <w:tcW w:w="1188"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环境质量底线</w:t>
                  </w:r>
                </w:p>
              </w:tc>
              <w:tc>
                <w:tcPr>
                  <w:tcW w:w="6834" w:type="dxa"/>
                  <w:vAlign w:val="center"/>
                </w:tcPr>
                <w:p>
                  <w:pPr>
                    <w:rPr>
                      <w:rFonts w:ascii="Times New Roman" w:hAnsi="Times New Roman" w:eastAsia="宋体" w:cs="Times New Roman"/>
                      <w:color w:val="auto"/>
                      <w:szCs w:val="21"/>
                      <w:highlight w:val="yellow"/>
                    </w:rPr>
                  </w:pPr>
                  <w:r>
                    <w:rPr>
                      <w:rFonts w:hint="eastAsia" w:ascii="Times New Roman" w:hAnsi="Times New Roman" w:eastAsia="宋体" w:cs="宋体"/>
                      <w:color w:val="auto"/>
                      <w:szCs w:val="21"/>
                    </w:rPr>
                    <w:t>①</w:t>
                  </w:r>
                  <w:r>
                    <w:rPr>
                      <w:rFonts w:ascii="Times New Roman" w:hAnsi="Times New Roman" w:eastAsia="宋体" w:cs="Times New Roman"/>
                      <w:color w:val="auto"/>
                      <w:szCs w:val="21"/>
                    </w:rPr>
                    <w:t>根据柳林县2020年环境空气质量例行监测资料可知，监测项目包括SO</w:t>
                  </w:r>
                  <w:r>
                    <w:rPr>
                      <w:rFonts w:ascii="Times New Roman" w:hAnsi="Times New Roman" w:eastAsia="宋体" w:cs="Times New Roman"/>
                      <w:color w:val="auto"/>
                      <w:szCs w:val="21"/>
                      <w:vertAlign w:val="subscript"/>
                    </w:rPr>
                    <w:t>2</w:t>
                  </w:r>
                  <w:r>
                    <w:rPr>
                      <w:rFonts w:ascii="Times New Roman" w:hAnsi="Times New Roman" w:eastAsia="宋体" w:cs="Times New Roman"/>
                      <w:color w:val="auto"/>
                      <w:szCs w:val="21"/>
                    </w:rPr>
                    <w:t>、NO</w:t>
                  </w:r>
                  <w:r>
                    <w:rPr>
                      <w:rFonts w:ascii="Times New Roman" w:hAnsi="Times New Roman" w:eastAsia="宋体" w:cs="Times New Roman"/>
                      <w:color w:val="auto"/>
                      <w:szCs w:val="21"/>
                      <w:vertAlign w:val="subscript"/>
                    </w:rPr>
                    <w:t>2</w:t>
                  </w:r>
                  <w:r>
                    <w:rPr>
                      <w:rFonts w:ascii="Times New Roman" w:hAnsi="Times New Roman" w:eastAsia="宋体" w:cs="Times New Roman"/>
                      <w:color w:val="auto"/>
                      <w:szCs w:val="21"/>
                    </w:rPr>
                    <w:t>、CO、O</w:t>
                  </w:r>
                  <w:r>
                    <w:rPr>
                      <w:rFonts w:ascii="Times New Roman" w:hAnsi="Times New Roman" w:eastAsia="宋体" w:cs="Times New Roman"/>
                      <w:color w:val="auto"/>
                      <w:szCs w:val="21"/>
                      <w:vertAlign w:val="subscript"/>
                    </w:rPr>
                    <w:t>3</w:t>
                  </w:r>
                  <w:r>
                    <w:rPr>
                      <w:rFonts w:ascii="Times New Roman" w:hAnsi="Times New Roman" w:eastAsia="宋体" w:cs="Times New Roman"/>
                      <w:color w:val="auto"/>
                      <w:szCs w:val="21"/>
                    </w:rPr>
                    <w:t>、PM</w:t>
                  </w:r>
                  <w:r>
                    <w:rPr>
                      <w:rFonts w:ascii="Times New Roman" w:hAnsi="Times New Roman" w:eastAsia="宋体" w:cs="Times New Roman"/>
                      <w:color w:val="auto"/>
                      <w:szCs w:val="21"/>
                      <w:vertAlign w:val="subscript"/>
                    </w:rPr>
                    <w:t>10</w:t>
                  </w:r>
                  <w:r>
                    <w:rPr>
                      <w:rFonts w:ascii="Times New Roman" w:hAnsi="Times New Roman" w:eastAsia="宋体" w:cs="Times New Roman"/>
                      <w:color w:val="auto"/>
                      <w:szCs w:val="21"/>
                    </w:rPr>
                    <w:t>和PM</w:t>
                  </w:r>
                  <w:r>
                    <w:rPr>
                      <w:rFonts w:ascii="Times New Roman" w:hAnsi="Times New Roman" w:eastAsia="宋体" w:cs="Times New Roman"/>
                      <w:color w:val="auto"/>
                      <w:szCs w:val="21"/>
                      <w:vertAlign w:val="subscript"/>
                    </w:rPr>
                    <w:t>2.5</w:t>
                  </w:r>
                  <w:r>
                    <w:rPr>
                      <w:rFonts w:ascii="Times New Roman" w:hAnsi="Times New Roman" w:eastAsia="宋体" w:cs="Times New Roman"/>
                      <w:color w:val="auto"/>
                      <w:szCs w:val="21"/>
                    </w:rPr>
                    <w:t>六项，监测结果显示NO</w:t>
                  </w:r>
                  <w:r>
                    <w:rPr>
                      <w:rFonts w:ascii="Times New Roman" w:hAnsi="Times New Roman" w:eastAsia="宋体" w:cs="Times New Roman"/>
                      <w:color w:val="auto"/>
                      <w:szCs w:val="21"/>
                      <w:vertAlign w:val="subscript"/>
                    </w:rPr>
                    <w:t>2</w:t>
                  </w:r>
                  <w:r>
                    <w:rPr>
                      <w:rFonts w:ascii="Times New Roman" w:hAnsi="Times New Roman" w:eastAsia="宋体" w:cs="Times New Roman"/>
                      <w:color w:val="auto"/>
                      <w:szCs w:val="21"/>
                    </w:rPr>
                    <w:t>年平均浓度、PM</w:t>
                  </w:r>
                  <w:r>
                    <w:rPr>
                      <w:rFonts w:ascii="Times New Roman" w:hAnsi="Times New Roman" w:eastAsia="宋体" w:cs="Times New Roman"/>
                      <w:color w:val="auto"/>
                      <w:szCs w:val="21"/>
                      <w:vertAlign w:val="subscript"/>
                    </w:rPr>
                    <w:t>10</w:t>
                  </w:r>
                  <w:r>
                    <w:rPr>
                      <w:rFonts w:ascii="Times New Roman" w:hAnsi="Times New Roman" w:eastAsia="宋体" w:cs="Times New Roman"/>
                      <w:color w:val="auto"/>
                      <w:szCs w:val="21"/>
                    </w:rPr>
                    <w:t>年平均浓度和PM</w:t>
                  </w:r>
                  <w:r>
                    <w:rPr>
                      <w:rFonts w:ascii="Times New Roman" w:hAnsi="Times New Roman" w:eastAsia="宋体" w:cs="Times New Roman"/>
                      <w:color w:val="auto"/>
                      <w:szCs w:val="21"/>
                      <w:vertAlign w:val="subscript"/>
                    </w:rPr>
                    <w:t>2.5</w:t>
                  </w:r>
                  <w:r>
                    <w:rPr>
                      <w:rFonts w:ascii="Times New Roman" w:hAnsi="Times New Roman" w:eastAsia="宋体" w:cs="Times New Roman"/>
                      <w:color w:val="auto"/>
                      <w:szCs w:val="21"/>
                    </w:rPr>
                    <w:t>年平均浓度出现不同程度的超标现象，说明该区域属于环境空气质量不达标区；</w:t>
                  </w:r>
                  <w:r>
                    <w:rPr>
                      <w:rFonts w:hint="eastAsia" w:ascii="Times New Roman" w:hAnsi="Times New Roman" w:eastAsia="宋体" w:cs="宋体"/>
                      <w:color w:val="auto"/>
                      <w:szCs w:val="21"/>
                    </w:rPr>
                    <w:t>②</w:t>
                  </w:r>
                  <w:r>
                    <w:rPr>
                      <w:rFonts w:ascii="Times New Roman" w:hAnsi="Times New Roman" w:eastAsia="宋体" w:cs="Times New Roman"/>
                      <w:color w:val="auto"/>
                      <w:szCs w:val="21"/>
                    </w:rPr>
                    <w:t>本项目所在地地表水水体为北侧约700m处的三川河，根据“2021年2月山西省地表水环境质量报告”可知，该河段水质满足《地表水环境质量标准》（GB3838-2002）中Ⅴ类标准；</w:t>
                  </w:r>
                  <w:r>
                    <w:rPr>
                      <w:rFonts w:hint="eastAsia" w:ascii="Times New Roman" w:hAnsi="Times New Roman" w:eastAsia="宋体" w:cs="宋体"/>
                      <w:color w:val="auto"/>
                      <w:szCs w:val="21"/>
                    </w:rPr>
                    <w:t>③</w:t>
                  </w:r>
                  <w:r>
                    <w:rPr>
                      <w:rFonts w:ascii="Times New Roman" w:hAnsi="Times New Roman" w:eastAsia="宋体" w:cs="Times New Roman"/>
                      <w:color w:val="auto"/>
                      <w:szCs w:val="21"/>
                    </w:rPr>
                    <w:t>本次评价未开展地下水环境质量现状调查工作、声环境质量现状调查工作、土壤环境质量现状调查工作、生态环境质量现状调查工作和电磁辐射现状调查工作</w:t>
                  </w:r>
                  <w:r>
                    <w:rPr>
                      <w:rFonts w:ascii="Times New Roman" w:hAnsi="Times New Roman" w:eastAsia="宋体" w:cs="Times New Roman"/>
                      <w:color w:val="auto"/>
                      <w:szCs w:val="21"/>
                      <w:lang w:val="zh-CN"/>
                    </w:rPr>
                    <w:t>。本项目严格执行环评提出的各项污染防治措施后，大气污染物和噪声均可达标排放、废水全部综合利用、固体废物全部综合利用或合理处置，不会明显增加区域环境压力。</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1188"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资源利用上线</w:t>
                  </w:r>
                </w:p>
              </w:tc>
              <w:tc>
                <w:tcPr>
                  <w:tcW w:w="6834"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本项目所用原料黄豆等，不涉及资源开采；本项目消耗的能源主要为电能、水，节能措施：</w:t>
                  </w:r>
                  <w:r>
                    <w:rPr>
                      <w:rFonts w:hint="eastAsia" w:ascii="Times New Roman" w:hAnsi="Times New Roman" w:eastAsia="宋体" w:cs="宋体"/>
                      <w:color w:val="auto"/>
                      <w:szCs w:val="21"/>
                    </w:rPr>
                    <w:t>①</w:t>
                  </w:r>
                  <w:r>
                    <w:rPr>
                      <w:rFonts w:ascii="Times New Roman" w:hAnsi="Times New Roman" w:eastAsia="宋体" w:cs="Times New Roman"/>
                      <w:color w:val="auto"/>
                      <w:szCs w:val="21"/>
                    </w:rPr>
                    <w:t>根据用电设备相关参数设置合理容量的变压器，避免其长期处于空载或轻载状态而造成额外的电能损耗；</w:t>
                  </w:r>
                  <w:r>
                    <w:rPr>
                      <w:rFonts w:hint="eastAsia" w:ascii="Times New Roman" w:hAnsi="Times New Roman" w:eastAsia="宋体" w:cs="宋体"/>
                      <w:color w:val="auto"/>
                      <w:szCs w:val="21"/>
                    </w:rPr>
                    <w:t>②</w:t>
                  </w:r>
                  <w:r>
                    <w:rPr>
                      <w:rFonts w:ascii="Times New Roman" w:hAnsi="Times New Roman" w:eastAsia="宋体" w:cs="Times New Roman"/>
                      <w:color w:val="auto"/>
                      <w:szCs w:val="21"/>
                    </w:rPr>
                    <w:t>定期维修保养用电设备，保证其运行状态良好，避免造成额外的电能损耗。</w:t>
                  </w:r>
                  <w:r>
                    <w:rPr>
                      <w:rFonts w:hint="eastAsia" w:ascii="Times New Roman" w:hAnsi="Times New Roman" w:eastAsia="宋体" w:cs="宋体"/>
                      <w:color w:val="auto"/>
                      <w:szCs w:val="21"/>
                    </w:rPr>
                    <w:t>③</w:t>
                  </w:r>
                  <w:r>
                    <w:rPr>
                      <w:rFonts w:ascii="Times New Roman" w:hAnsi="Times New Roman" w:eastAsia="宋体" w:cs="Times New Roman"/>
                      <w:color w:val="auto"/>
                      <w:szCs w:val="21"/>
                    </w:rPr>
                    <w:t>根据废水类型，尽量选择经处理后综合利用的方式处置废水</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w:t>
                  </w:r>
                </w:p>
              </w:tc>
              <w:tc>
                <w:tcPr>
                  <w:tcW w:w="1188"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环境准入负面清单</w:t>
                  </w:r>
                </w:p>
              </w:tc>
              <w:tc>
                <w:tcPr>
                  <w:tcW w:w="6834"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本项目所在地还未制定《环境准入负面清单》，参照《市场准入负面清单（2020年版）》（发改体改规【2020】1880号）进行符合性分析，本项目不属于禁止准入类和许可准入类，对于市场准入负面清单以外的行业、领域和业务等，各类市场主体皆可依法平等进入。</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（2）项目与《山西省人民政府关于实施“三线一单”生态环境分区管控的意见》（晋政发【2020】26号）符合性分析</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山西省人民政府关于实施“三线一单”生态环境分区管控的意见》（晋政发【2020】26号）中“二、构建生态环境分区管控体系（一）划分生态环境管控单元”可知，生态环境管控单元划分为优先保护单元、重点管控单元和一般管控单元，根据其附件“山西省生态环境管控单元图”可知，本项目所在地属于重点管控单元；根据其“二、构建生态环境分区管控体系（二）制定生态环境准入清单”，分析项目与所在生态环境管控单元（重点管控单元）生态环境准入清单符合性，见表2。</w:t>
            </w:r>
          </w:p>
          <w:p>
            <w:pPr>
              <w:widowControl/>
              <w:adjustRightInd w:val="0"/>
              <w:snapToGrid w:val="0"/>
              <w:spacing w:line="480" w:lineRule="exact"/>
              <w:jc w:val="center"/>
              <w:rPr>
                <w:rFonts w:ascii="Times New Roman" w:hAnsi="Times New Roman" w:eastAsia="宋体" w:cs="Times New Roman"/>
                <w:bCs/>
                <w:snapToGrid w:val="0"/>
                <w:color w:val="auto"/>
                <w:kern w:val="0"/>
                <w:szCs w:val="21"/>
              </w:rPr>
            </w:pPr>
            <w:r>
              <w:rPr>
                <w:rFonts w:ascii="Times New Roman" w:hAnsi="Times New Roman" w:eastAsia="宋体" w:cs="Times New Roman"/>
                <w:bCs/>
                <w:snapToGrid w:val="0"/>
                <w:color w:val="auto"/>
                <w:kern w:val="0"/>
                <w:szCs w:val="21"/>
              </w:rPr>
              <w:t>表2项目与所在生态环境管控单元（重点管控单元）生态环境准入清单符合性分析一览表</w:t>
            </w:r>
          </w:p>
          <w:tbl>
            <w:tblPr>
              <w:tblStyle w:val="20"/>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4227"/>
              <w:gridCol w:w="3795"/>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序号</w:t>
                  </w:r>
                </w:p>
              </w:tc>
              <w:tc>
                <w:tcPr>
                  <w:tcW w:w="422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具体要求</w:t>
                  </w:r>
                </w:p>
              </w:tc>
              <w:tc>
                <w:tcPr>
                  <w:tcW w:w="379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本项目情况</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4227"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进一步优化空间布局，加强污染物排放控制和环境风险防控，不断提升资源能源利用效率，解决生态环境质量不达标、生态环境风险高等问题，实现减污降碳协同效应。</w:t>
                  </w:r>
                </w:p>
              </w:tc>
              <w:tc>
                <w:tcPr>
                  <w:tcW w:w="3795"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本项目严格执行环评提出的各项污染防治措施后，</w:t>
                  </w:r>
                  <w:r>
                    <w:rPr>
                      <w:rFonts w:ascii="Times New Roman" w:hAnsi="Times New Roman" w:eastAsia="宋体" w:cs="Times New Roman"/>
                      <w:color w:val="auto"/>
                      <w:szCs w:val="21"/>
                      <w:lang w:val="zh-CN"/>
                    </w:rPr>
                    <w:t>大气污染物和噪声均可达标排放、废水及固体废物全部综合利用或合理处置</w:t>
                  </w:r>
                  <w:r>
                    <w:rPr>
                      <w:rFonts w:ascii="Times New Roman" w:hAnsi="Times New Roman" w:eastAsia="宋体" w:cs="Times New Roman"/>
                      <w:color w:val="auto"/>
                      <w:szCs w:val="21"/>
                    </w:rPr>
                    <w:t>。</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w:t>
                  </w:r>
                </w:p>
              </w:tc>
              <w:tc>
                <w:tcPr>
                  <w:tcW w:w="4227"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京津冀及周边地区和汾渭平原等国家大气污染联防联控重点区域，要加快调整优化产业结构、能源结构，严禁新增钢铁、焦化、铸造、水泥、平板玻璃等产能，要加快实施城市规划区“两高”企业搬迁，完善能源消费双控制度。</w:t>
                  </w:r>
                </w:p>
              </w:tc>
              <w:tc>
                <w:tcPr>
                  <w:tcW w:w="3795"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本项目</w:t>
                  </w:r>
                  <w:r>
                    <w:rPr>
                      <w:rFonts w:hint="eastAsia" w:ascii="Times New Roman" w:hAnsi="Times New Roman" w:eastAsia="宋体" w:cs="Times New Roman"/>
                      <w:color w:val="auto"/>
                      <w:szCs w:val="21"/>
                    </w:rPr>
                    <w:t>矿山设备加工及维修</w:t>
                  </w:r>
                  <w:r>
                    <w:rPr>
                      <w:rFonts w:ascii="Times New Roman" w:hAnsi="Times New Roman" w:eastAsia="宋体" w:cs="Times New Roman"/>
                      <w:color w:val="auto"/>
                      <w:szCs w:val="21"/>
                    </w:rPr>
                    <w:t>属于国民经济行业类别C</w:t>
                  </w:r>
                  <w:r>
                    <w:rPr>
                      <w:rFonts w:hint="eastAsia" w:ascii="Times New Roman" w:hAnsi="Times New Roman" w:eastAsia="宋体" w:cs="Times New Roman"/>
                      <w:color w:val="auto"/>
                      <w:szCs w:val="21"/>
                    </w:rPr>
                    <w:t>43金属制品、机械和设备修理业</w:t>
                  </w:r>
                  <w:r>
                    <w:rPr>
                      <w:rFonts w:ascii="Times New Roman" w:hAnsi="Times New Roman" w:eastAsia="宋体" w:cs="Times New Roman"/>
                      <w:color w:val="auto"/>
                      <w:szCs w:val="21"/>
                    </w:rPr>
                    <w:t>，不属于“两高”行业。</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4227" w:type="dxa"/>
                  <w:vAlign w:val="center"/>
                </w:tcPr>
                <w:p>
                  <w:pPr>
                    <w:adjustRightInd w:val="0"/>
                    <w:rPr>
                      <w:rFonts w:ascii="Times New Roman" w:hAnsi="Times New Roman" w:eastAsia="宋体" w:cs="Times New Roman"/>
                      <w:color w:val="auto"/>
                      <w:szCs w:val="21"/>
                    </w:rPr>
                  </w:pPr>
                  <w:r>
                    <w:rPr>
                      <w:rFonts w:ascii="Times New Roman" w:hAnsi="Times New Roman" w:eastAsia="宋体" w:cs="Times New Roman"/>
                      <w:color w:val="auto"/>
                      <w:szCs w:val="21"/>
                    </w:rPr>
                    <w:t>实施企业绩效分级分类管控，强化联防联控，持续推进清洁取暖散煤治理，严防“散乱污”企业反弹，积极应对重污染天气。</w:t>
                  </w:r>
                </w:p>
              </w:tc>
              <w:tc>
                <w:tcPr>
                  <w:tcW w:w="3795" w:type="dxa"/>
                  <w:vAlign w:val="center"/>
                </w:tcPr>
                <w:p>
                  <w:pPr>
                    <w:adjustRightInd w:val="0"/>
                    <w:rPr>
                      <w:rFonts w:ascii="Times New Roman" w:hAnsi="Times New Roman" w:eastAsia="宋体" w:cs="Times New Roman"/>
                      <w:color w:val="auto"/>
                      <w:szCs w:val="21"/>
                      <w:highlight w:val="yellow"/>
                    </w:rPr>
                  </w:pPr>
                  <w:r>
                    <w:rPr>
                      <w:rFonts w:ascii="Times New Roman" w:hAnsi="Times New Roman" w:eastAsia="宋体" w:cs="Times New Roman"/>
                      <w:color w:val="auto"/>
                      <w:szCs w:val="21"/>
                    </w:rPr>
                    <w:t>本项目</w:t>
                  </w:r>
                  <w:r>
                    <w:rPr>
                      <w:rFonts w:hint="eastAsia" w:ascii="Times New Roman" w:hAnsi="Times New Roman" w:eastAsia="宋体" w:cs="Times New Roman"/>
                      <w:color w:val="auto"/>
                      <w:szCs w:val="21"/>
                      <w:lang w:val="en-US" w:eastAsia="zh-CN"/>
                    </w:rPr>
                    <w:t>车间不供暖，办公室冬季</w:t>
                  </w:r>
                  <w:r>
                    <w:rPr>
                      <w:rFonts w:ascii="Times New Roman" w:hAnsi="Times New Roman" w:eastAsia="宋体" w:cs="Times New Roman"/>
                      <w:color w:val="auto"/>
                      <w:szCs w:val="21"/>
                    </w:rPr>
                    <w:t>供暖利用</w:t>
                  </w:r>
                  <w:r>
                    <w:rPr>
                      <w:rFonts w:hint="eastAsia" w:ascii="Times New Roman" w:hAnsi="Times New Roman" w:eastAsia="宋体" w:cs="Times New Roman"/>
                      <w:color w:val="auto"/>
                      <w:szCs w:val="21"/>
                      <w:lang w:val="en-US" w:eastAsia="zh-CN"/>
                    </w:rPr>
                    <w:t>空调</w:t>
                  </w:r>
                  <w:r>
                    <w:rPr>
                      <w:rFonts w:ascii="Times New Roman" w:hAnsi="Times New Roman" w:eastAsia="宋体" w:cs="Times New Roman"/>
                      <w:color w:val="auto"/>
                      <w:szCs w:val="21"/>
                    </w:rPr>
                    <w:t>。</w:t>
                  </w:r>
                </w:p>
              </w:tc>
              <w:tc>
                <w:tcPr>
                  <w:tcW w:w="874"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w:t>
                  </w:r>
                </w:p>
              </w:tc>
              <w:tc>
                <w:tcPr>
                  <w:tcW w:w="4227" w:type="dxa"/>
                  <w:vAlign w:val="center"/>
                </w:tcPr>
                <w:p>
                  <w:pPr>
                    <w:adjustRightIn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太原及周边“1+30”汾河谷地区域在执行京津冀及周边地区和汾渭平原区域管控要求基础上，以资源环境承载力为约束，全面推进现有焦化、化工、钢铁、有色等重污染行业企业逐步退出城市规划区和县城建成区，推动焦化产能向资源禀赋好、环境承载力强、大气扩散条件优、铁路运输便利的区域转移。</w:t>
                  </w:r>
                </w:p>
              </w:tc>
              <w:tc>
                <w:tcPr>
                  <w:tcW w:w="3795" w:type="dxa"/>
                  <w:vAlign w:val="center"/>
                </w:tcPr>
                <w:p>
                  <w:pPr>
                    <w:adjustRightInd w:val="0"/>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本项目</w:t>
                  </w:r>
                  <w:r>
                    <w:rPr>
                      <w:rFonts w:hint="eastAsia" w:ascii="Times New Roman" w:hAnsi="Times New Roman" w:eastAsia="宋体" w:cs="Times New Roman"/>
                      <w:color w:val="auto"/>
                      <w:sz w:val="21"/>
                      <w:szCs w:val="21"/>
                    </w:rPr>
                    <w:t>矿山设备加工及维修</w:t>
                  </w:r>
                  <w:r>
                    <w:rPr>
                      <w:rFonts w:ascii="Times New Roman" w:hAnsi="Times New Roman" w:eastAsia="宋体" w:cs="Times New Roman"/>
                      <w:color w:val="auto"/>
                      <w:sz w:val="21"/>
                      <w:szCs w:val="21"/>
                    </w:rPr>
                    <w:t>属于国民经济行业类别C</w:t>
                  </w:r>
                  <w:r>
                    <w:rPr>
                      <w:rFonts w:hint="eastAsia" w:ascii="Times New Roman" w:hAnsi="Times New Roman" w:eastAsia="宋体" w:cs="Times New Roman"/>
                      <w:color w:val="auto"/>
                      <w:sz w:val="21"/>
                      <w:szCs w:val="21"/>
                    </w:rPr>
                    <w:t>43金属制品、机械和设备修理业</w:t>
                  </w:r>
                  <w:r>
                    <w:rPr>
                      <w:rFonts w:ascii="Times New Roman" w:hAnsi="Times New Roman" w:eastAsia="宋体" w:cs="Times New Roman"/>
                      <w:color w:val="auto"/>
                      <w:sz w:val="21"/>
                      <w:szCs w:val="21"/>
                    </w:rPr>
                    <w:t>，不属于重污染行业且本项目位于柳林县柳林镇富资垣村，租用柳林县柳林镇富资垣村荒地</w:t>
                  </w:r>
                  <w:r>
                    <w:rPr>
                      <w:rFonts w:hint="eastAsia" w:ascii="Times New Roman" w:hAnsi="Times New Roman" w:eastAsia="宋体" w:cs="Times New Roman"/>
                      <w:color w:val="auto"/>
                      <w:sz w:val="21"/>
                      <w:szCs w:val="21"/>
                    </w:rPr>
                    <w:t>，距离柳林县城6km，</w:t>
                  </w:r>
                  <w:r>
                    <w:rPr>
                      <w:rFonts w:ascii="Times New Roman" w:hAnsi="Times New Roman" w:eastAsia="宋体" w:cs="Times New Roman"/>
                      <w:color w:val="auto"/>
                      <w:sz w:val="21"/>
                      <w:szCs w:val="21"/>
                    </w:rPr>
                    <w:t>本项目厂址不在柳林县中心城区范围内</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所以本项目建设不违背柳林县总体规划</w:t>
                  </w:r>
                  <w:r>
                    <w:rPr>
                      <w:rFonts w:hint="eastAsia" w:ascii="Times New Roman" w:hAnsi="Times New Roman" w:eastAsia="宋体" w:cs="Times New Roman"/>
                      <w:color w:val="auto"/>
                      <w:sz w:val="21"/>
                      <w:szCs w:val="21"/>
                      <w:lang w:eastAsia="zh-CN"/>
                    </w:rPr>
                    <w:t>。</w:t>
                  </w:r>
                </w:p>
              </w:tc>
              <w:tc>
                <w:tcPr>
                  <w:tcW w:w="874" w:type="dxa"/>
                  <w:vAlign w:val="center"/>
                </w:tcPr>
                <w:p>
                  <w:pPr>
                    <w:adjustRightInd w:val="0"/>
                    <w:jc w:val="center"/>
                    <w:rPr>
                      <w:rFonts w:ascii="Times New Roman" w:hAnsi="Times New Roman" w:eastAsia="宋体" w:cs="Times New Roman"/>
                      <w:color w:val="auto"/>
                      <w:sz w:val="21"/>
                      <w:szCs w:val="21"/>
                      <w:highlight w:val="green"/>
                    </w:rPr>
                  </w:pPr>
                  <w:r>
                    <w:rPr>
                      <w:rFonts w:ascii="Times New Roman" w:hAnsi="Times New Roman" w:eastAsia="宋体" w:cs="Times New Roman"/>
                      <w:color w:val="auto"/>
                      <w:sz w:val="21"/>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4227" w:type="dxa"/>
                  <w:vAlign w:val="center"/>
                </w:tcPr>
                <w:p>
                  <w:pPr>
                    <w:adjustRightIn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鼓励焦化、化工等传统产业实施“飞地经济”。</w:t>
                  </w:r>
                </w:p>
              </w:tc>
              <w:tc>
                <w:tcPr>
                  <w:tcW w:w="3795" w:type="dxa"/>
                  <w:vAlign w:val="center"/>
                </w:tcPr>
                <w:p>
                  <w:pPr>
                    <w:adjustRightIn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本项目不涉及“飞地经济”发展模式。</w:t>
                  </w:r>
                </w:p>
              </w:tc>
              <w:tc>
                <w:tcPr>
                  <w:tcW w:w="874" w:type="dxa"/>
                  <w:vAlign w:val="center"/>
                </w:tcPr>
                <w:p>
                  <w:pPr>
                    <w:adjustRightIn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w:t>
                  </w:r>
                </w:p>
              </w:tc>
              <w:tc>
                <w:tcPr>
                  <w:tcW w:w="4227" w:type="dxa"/>
                  <w:vAlign w:val="center"/>
                </w:tcPr>
                <w:p>
                  <w:pPr>
                    <w:adjustRightIn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汾河流域加强流域上下游左右岸污染统筹治理，严格入河排污口设置，实施汾河入河排污总量控制，积极推行流域城镇生活污水处理“厂—网—河（湖）”一体化运营模式，大力推进工业废水近零排放和资源化利用，实施城镇生活再生水资源化分质利用。</w:t>
                  </w:r>
                </w:p>
              </w:tc>
              <w:tc>
                <w:tcPr>
                  <w:tcW w:w="3795" w:type="dxa"/>
                  <w:vAlign w:val="center"/>
                </w:tcPr>
                <w:p>
                  <w:pPr>
                    <w:adjustRightInd w:val="0"/>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本项目运营期内</w:t>
                  </w:r>
                  <w:r>
                    <w:rPr>
                      <w:rFonts w:hint="eastAsia" w:ascii="Times New Roman" w:hAnsi="Times New Roman" w:eastAsia="宋体"/>
                      <w:color w:val="auto"/>
                      <w:sz w:val="21"/>
                      <w:szCs w:val="21"/>
                    </w:rPr>
                    <w:t>冲洗废水经含油废水处理系统处理后回用于冲洗支架等设备，循环使用</w:t>
                  </w:r>
                  <w:r>
                    <w:rPr>
                      <w:rFonts w:hint="eastAsia" w:ascii="Times New Roman" w:hAnsi="Times New Roman" w:eastAsia="宋体" w:cs="Times New Roman"/>
                      <w:color w:val="auto"/>
                      <w:sz w:val="21"/>
                      <w:szCs w:val="21"/>
                      <w:lang w:eastAsia="zh-CN"/>
                    </w:rPr>
                    <w:t>。</w:t>
                  </w:r>
                </w:p>
                <w:p>
                  <w:pPr>
                    <w:adjustRightInd w:val="0"/>
                    <w:rPr>
                      <w:rFonts w:ascii="Times New Roman" w:hAnsi="Times New Roman" w:eastAsia="宋体" w:cs="Times New Roman"/>
                      <w:color w:val="auto"/>
                      <w:sz w:val="21"/>
                      <w:szCs w:val="21"/>
                      <w:highlight w:val="yellow"/>
                    </w:rPr>
                  </w:pPr>
                  <w:r>
                    <w:rPr>
                      <w:rFonts w:ascii="Times New Roman" w:hAnsi="Times New Roman" w:eastAsia="宋体"/>
                      <w:color w:val="auto"/>
                      <w:sz w:val="21"/>
                      <w:szCs w:val="21"/>
                    </w:rPr>
                    <w:t>生活污水</w:t>
                  </w:r>
                  <w:r>
                    <w:rPr>
                      <w:rFonts w:hint="eastAsia" w:ascii="Times New Roman" w:hAnsi="Times New Roman" w:eastAsia="宋体"/>
                      <w:color w:val="auto"/>
                      <w:sz w:val="21"/>
                      <w:szCs w:val="21"/>
                      <w:lang w:val="en-US" w:eastAsia="zh-CN"/>
                    </w:rPr>
                    <w:t>沉淀</w:t>
                  </w:r>
                  <w:r>
                    <w:rPr>
                      <w:rFonts w:hint="eastAsia" w:ascii="Times New Roman" w:hAnsi="Times New Roman" w:eastAsia="宋体"/>
                      <w:color w:val="auto"/>
                      <w:sz w:val="21"/>
                      <w:szCs w:val="21"/>
                    </w:rPr>
                    <w:t>后的废水</w:t>
                  </w:r>
                  <w:r>
                    <w:rPr>
                      <w:rFonts w:hint="eastAsia" w:ascii="Times New Roman" w:hAnsi="Times New Roman" w:eastAsia="宋体"/>
                      <w:color w:val="auto"/>
                      <w:sz w:val="21"/>
                      <w:szCs w:val="21"/>
                      <w:lang w:val="en-US" w:eastAsia="zh-CN"/>
                    </w:rPr>
                    <w:t>用于绿化、道路洒水</w:t>
                  </w:r>
                  <w:r>
                    <w:rPr>
                      <w:rFonts w:ascii="Times New Roman" w:hAnsi="Times New Roman" w:eastAsia="宋体" w:cs="Times New Roman"/>
                      <w:color w:val="auto"/>
                      <w:sz w:val="21"/>
                      <w:szCs w:val="21"/>
                      <w:lang w:val="zh-CN"/>
                    </w:rPr>
                    <w:t>。</w:t>
                  </w:r>
                </w:p>
              </w:tc>
              <w:tc>
                <w:tcPr>
                  <w:tcW w:w="874" w:type="dxa"/>
                  <w:vAlign w:val="center"/>
                </w:tcPr>
                <w:p>
                  <w:pPr>
                    <w:adjustRightIn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（3）项目与《产业结构调整指导目录（2019年本）》（国家发展和改革委员会令第29号）符合性分析</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查阅《产业结构调整指导目录（2019年本）》，本项目不涉及“限制类”和“淘汰类”中的工艺、装备及产品等，不违背《产业结构调整指导目录（2019年本）》。</w:t>
            </w:r>
          </w:p>
          <w:p>
            <w:pPr>
              <w:widowControl/>
              <w:overflowPunct w:val="0"/>
              <w:autoSpaceDE w:val="0"/>
              <w:autoSpaceDN w:val="0"/>
              <w:spacing w:line="480" w:lineRule="exact"/>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省、市、县《挥发性有机物污染防治工作方案（2018-2020年）》符合性分析根据《山西省挥发性有机物污染防治工作方案（2018-2020年）》要求，采用溶剂型涂料的其他涂装企业，推广使用水性、高固体分、固体、紫外光固化等涂料和先进涂装工艺。</w:t>
            </w:r>
            <w:r>
              <w:rPr>
                <w:rFonts w:hint="eastAsia" w:ascii="Times New Roman" w:hAnsi="Times New Roman" w:eastAsia="宋体" w:cs="Times New Roman"/>
                <w:color w:val="auto"/>
                <w:sz w:val="24"/>
                <w:szCs w:val="24"/>
                <w:lang w:eastAsia="zh-CN"/>
              </w:rPr>
              <w:t>喷漆、晾干</w:t>
            </w:r>
            <w:r>
              <w:rPr>
                <w:rFonts w:hint="eastAsia" w:ascii="Times New Roman" w:hAnsi="Times New Roman" w:eastAsia="宋体" w:cs="Times New Roman"/>
                <w:color w:val="auto"/>
                <w:sz w:val="24"/>
                <w:szCs w:val="24"/>
              </w:rPr>
              <w:t>等工序应在密闭环境（大型工件确实不能实施密闭作业的除外）中进行，加强有机废气的收集与处理。</w:t>
            </w:r>
          </w:p>
          <w:p>
            <w:pPr>
              <w:widowControl/>
              <w:overflowPunct w:val="0"/>
              <w:autoSpaceDE w:val="0"/>
              <w:autoSpaceDN w:val="0"/>
              <w:spacing w:line="480" w:lineRule="exact"/>
              <w:ind w:firstLine="480" w:firstLineChars="200"/>
              <w:rPr>
                <w:rFonts w:hint="eastAsia" w:ascii="Times New Roman" w:hAnsi="Times New Roman" w:eastAsia="宋体" w:cs="Times New Roman"/>
                <w:color w:val="auto"/>
                <w:sz w:val="24"/>
                <w:szCs w:val="24"/>
                <w:lang w:val="en" w:eastAsia="zh-CN"/>
              </w:rPr>
            </w:pPr>
            <w:r>
              <w:rPr>
                <w:rFonts w:hint="eastAsia" w:ascii="Times New Roman" w:hAnsi="Times New Roman" w:eastAsia="宋体" w:cs="Times New Roman"/>
                <w:color w:val="auto"/>
                <w:sz w:val="24"/>
                <w:szCs w:val="24"/>
              </w:rPr>
              <w:t>根据《重点行业挥发性有机物综合治理方案》（2019年6月26日）</w:t>
            </w:r>
            <w:r>
              <w:rPr>
                <w:rFonts w:hint="eastAsia" w:ascii="Times New Roman" w:hAnsi="Times New Roman" w:eastAsia="宋体" w:cs="Times New Roman"/>
                <w:color w:val="auto"/>
                <w:sz w:val="24"/>
                <w:szCs w:val="24"/>
                <w:lang w:val="en"/>
              </w:rPr>
              <w:t>）要求：重点行业VOCs综合治理，包括石化、化工、工业涂装、包装印刷、油品储运销等行业，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推广使用低VOCs含量油墨和胶粘剂。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应加大控制力度，除确保排放浓度稳定达标外，还应实行去除效率控制，去除效率不低于80%</w:t>
            </w:r>
            <w:r>
              <w:rPr>
                <w:rFonts w:hint="eastAsia" w:ascii="Times New Roman" w:hAnsi="Times New Roman" w:eastAsia="宋体" w:cs="Times New Roman"/>
                <w:color w:val="auto"/>
                <w:sz w:val="24"/>
                <w:szCs w:val="24"/>
                <w:lang w:val="en" w:eastAsia="zh-CN"/>
              </w:rPr>
              <w:t>。</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本项目使用先进涂装工艺，</w:t>
            </w:r>
            <w:r>
              <w:rPr>
                <w:rFonts w:hint="eastAsia" w:ascii="Times New Roman" w:hAnsi="Times New Roman" w:eastAsia="宋体" w:cs="Times New Roman"/>
                <w:color w:val="auto"/>
                <w:sz w:val="24"/>
                <w:szCs w:val="24"/>
                <w:lang w:eastAsia="zh-CN"/>
              </w:rPr>
              <w:t>喷漆、晾干</w:t>
            </w:r>
            <w:r>
              <w:rPr>
                <w:rFonts w:hint="eastAsia" w:ascii="Times New Roman" w:hAnsi="Times New Roman" w:eastAsia="宋体" w:cs="Times New Roman"/>
                <w:color w:val="auto"/>
                <w:sz w:val="24"/>
                <w:szCs w:val="24"/>
              </w:rPr>
              <w:t>等工序在封闭的喷漆室内进行，本项目产生的VOCs为低浓度，大风量的废气。项目的建设符合《山西省挥发性有机物污染防治工作方案（2018-2020年）》要求。本项目</w:t>
            </w:r>
            <w:r>
              <w:rPr>
                <w:rFonts w:ascii="Times New Roman" w:hAnsi="Times New Roman" w:eastAsia="宋体" w:cs="Times New Roman"/>
                <w:color w:val="auto"/>
                <w:sz w:val="24"/>
                <w:szCs w:val="24"/>
              </w:rPr>
              <w:t>使用的</w:t>
            </w:r>
            <w:r>
              <w:rPr>
                <w:rFonts w:hint="eastAsia" w:ascii="Times New Roman" w:hAnsi="Times New Roman" w:eastAsia="宋体" w:cs="Times New Roman"/>
                <w:color w:val="auto"/>
                <w:sz w:val="24"/>
                <w:szCs w:val="24"/>
                <w:lang w:eastAsia="zh-CN"/>
              </w:rPr>
              <w:t>漆</w:t>
            </w:r>
            <w:r>
              <w:rPr>
                <w:rFonts w:ascii="Times New Roman" w:hAnsi="Times New Roman" w:eastAsia="宋体" w:cs="Times New Roman"/>
                <w:color w:val="auto"/>
                <w:sz w:val="24"/>
                <w:szCs w:val="24"/>
              </w:rPr>
              <w:t>储存于密闭的桶内，</w:t>
            </w:r>
            <w:r>
              <w:rPr>
                <w:rFonts w:hint="eastAsia" w:ascii="Times New Roman" w:hAnsi="Times New Roman" w:eastAsia="宋体" w:cs="Times New Roman"/>
                <w:color w:val="auto"/>
                <w:sz w:val="24"/>
                <w:szCs w:val="24"/>
              </w:rPr>
              <w:t>在</w:t>
            </w:r>
            <w:r>
              <w:rPr>
                <w:rFonts w:hint="eastAsia" w:ascii="Times New Roman" w:hAnsi="Times New Roman" w:eastAsia="宋体" w:cs="Times New Roman"/>
                <w:color w:val="auto"/>
                <w:sz w:val="24"/>
                <w:szCs w:val="24"/>
                <w:lang w:eastAsia="zh-CN"/>
              </w:rPr>
              <w:t>喷漆工序上设置过滤棉</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活性炭吸附/脱附+催化燃烧</w:t>
            </w:r>
            <w:r>
              <w:rPr>
                <w:rFonts w:hint="eastAsia" w:ascii="Times New Roman" w:hAnsi="Times New Roman" w:eastAsia="宋体" w:cs="Times New Roman"/>
                <w:color w:val="auto"/>
                <w:sz w:val="24"/>
                <w:szCs w:val="24"/>
              </w:rPr>
              <w:t>装置处理后，经15m烟筒排放。</w:t>
            </w:r>
            <w:r>
              <w:rPr>
                <w:rFonts w:ascii="Times New Roman" w:hAnsi="Times New Roman" w:eastAsia="宋体" w:cs="Times New Roman"/>
                <w:color w:val="auto"/>
                <w:sz w:val="24"/>
                <w:szCs w:val="24"/>
              </w:rPr>
              <w:t>因此，本项目</w:t>
            </w:r>
            <w:r>
              <w:rPr>
                <w:rFonts w:hint="eastAsia" w:ascii="Times New Roman" w:hAnsi="Times New Roman" w:eastAsia="宋体" w:cs="Times New Roman"/>
                <w:color w:val="auto"/>
                <w:sz w:val="24"/>
                <w:szCs w:val="24"/>
              </w:rPr>
              <w:t>建设</w:t>
            </w:r>
            <w:r>
              <w:rPr>
                <w:rFonts w:ascii="Times New Roman" w:hAnsi="Times New Roman" w:eastAsia="宋体" w:cs="Times New Roman"/>
                <w:color w:val="auto"/>
                <w:sz w:val="24"/>
                <w:szCs w:val="24"/>
              </w:rPr>
              <w:t>符合该标准的要求</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（4）项目与柳林县总体规划符合性分析</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本项目位于柳林县</w:t>
            </w:r>
            <w:r>
              <w:rPr>
                <w:rFonts w:hint="eastAsia" w:ascii="Times New Roman" w:hAnsi="Times New Roman" w:eastAsia="宋体" w:cs="Times New Roman"/>
                <w:color w:val="auto"/>
                <w:sz w:val="24"/>
                <w:szCs w:val="24"/>
                <w:lang w:eastAsia="zh-CN"/>
              </w:rPr>
              <w:t>柳林镇穆家焉村聚鸦公路向北5km处。</w:t>
            </w:r>
            <w:r>
              <w:rPr>
                <w:rFonts w:ascii="Times New Roman" w:hAnsi="Times New Roman" w:eastAsia="宋体"/>
                <w:color w:val="auto"/>
                <w:sz w:val="24"/>
              </w:rPr>
              <w:t>本项目位于柳林县柳林镇富资垣村，租用柳林县柳林镇富资垣村荒地</w:t>
            </w:r>
            <w:r>
              <w:rPr>
                <w:rFonts w:hint="eastAsia" w:ascii="Times New Roman" w:hAnsi="Times New Roman" w:eastAsia="宋体"/>
                <w:color w:val="auto"/>
                <w:sz w:val="24"/>
              </w:rPr>
              <w:t>，距离柳林县城6km，</w:t>
            </w:r>
            <w:r>
              <w:rPr>
                <w:rFonts w:ascii="Times New Roman" w:hAnsi="Times New Roman" w:eastAsia="宋体"/>
                <w:color w:val="auto"/>
                <w:sz w:val="24"/>
              </w:rPr>
              <w:t>本项目厂址不在柳林县中心城区范围内</w:t>
            </w:r>
            <w:r>
              <w:rPr>
                <w:rFonts w:hint="eastAsia" w:ascii="Times New Roman" w:hAnsi="Times New Roman" w:eastAsia="宋体"/>
                <w:color w:val="auto"/>
                <w:sz w:val="24"/>
              </w:rPr>
              <w:t>，</w:t>
            </w:r>
            <w:r>
              <w:rPr>
                <w:rFonts w:ascii="Times New Roman" w:hAnsi="Times New Roman" w:eastAsia="宋体"/>
                <w:color w:val="auto"/>
                <w:sz w:val="24"/>
              </w:rPr>
              <w:t>所以本项目建设不违背柳林县总体规划</w:t>
            </w:r>
            <w:r>
              <w:rPr>
                <w:rFonts w:hint="eastAsia" w:ascii="Times New Roman" w:hAnsi="Times New Roman" w:eastAsia="宋体"/>
                <w:color w:val="auto"/>
                <w:sz w:val="24"/>
              </w:rPr>
              <w:t>；</w:t>
            </w:r>
            <w:r>
              <w:rPr>
                <w:rFonts w:ascii="Times New Roman" w:hAnsi="Times New Roman" w:eastAsia="宋体"/>
                <w:color w:val="auto"/>
                <w:sz w:val="24"/>
              </w:rPr>
              <w:t>项目北侧为</w:t>
            </w:r>
            <w:r>
              <w:rPr>
                <w:rFonts w:hint="eastAsia" w:ascii="Times New Roman" w:hAnsi="Times New Roman" w:eastAsia="宋体"/>
                <w:color w:val="auto"/>
                <w:sz w:val="24"/>
              </w:rPr>
              <w:t>柳林县大成商砼有限公司</w:t>
            </w:r>
            <w:r>
              <w:rPr>
                <w:rFonts w:ascii="Times New Roman" w:hAnsi="Times New Roman" w:eastAsia="宋体"/>
                <w:color w:val="auto"/>
                <w:sz w:val="24"/>
              </w:rPr>
              <w:t>，东侧为荒坡，西侧为聚雅公路，隔路为荒坡，南侧为荒地</w:t>
            </w:r>
            <w:r>
              <w:rPr>
                <w:rFonts w:hint="eastAsia" w:ascii="Times New Roman" w:hAnsi="Times New Roman" w:eastAsia="宋体"/>
                <w:color w:val="auto"/>
                <w:sz w:val="24"/>
              </w:rPr>
              <w:t>，选址不涉及自然保护区、风景名胜区等《建设项目环境影响评价分类管理名录》中所确定的制约本项目建设的环境敏感区；本次评价根据《环境影响评价技术导则大气环境》（</w:t>
            </w:r>
            <w:r>
              <w:rPr>
                <w:rFonts w:ascii="Times New Roman" w:hAnsi="Times New Roman" w:eastAsia="宋体"/>
                <w:color w:val="auto"/>
                <w:sz w:val="24"/>
              </w:rPr>
              <w:t>HJ2.2-2008</w:t>
            </w:r>
            <w:r>
              <w:rPr>
                <w:rFonts w:hint="eastAsia" w:ascii="Times New Roman" w:hAnsi="Times New Roman" w:eastAsia="宋体"/>
                <w:color w:val="auto"/>
                <w:sz w:val="24"/>
              </w:rPr>
              <w:t>）中的有关无组织排放源的大气环境防护距离计算，利用环境保护部环境工程评估中心环境质量模拟重点实验室关于大气环境防护距离计算软件，以无组织粉尘为标的计算，经计算，无超标点，故本项目不设置大气防护距离</w:t>
            </w:r>
            <w:r>
              <w:rPr>
                <w:rFonts w:ascii="Times New Roman" w:hAnsi="Times New Roman" w:eastAsia="宋体" w:cs="Times New Roman"/>
                <w:color w:val="auto"/>
                <w:sz w:val="24"/>
                <w:szCs w:val="24"/>
              </w:rPr>
              <w:t>。本项目所占地块位于城市规划范围内，属于建设用地，项目的建设不违背柳林县城市总体规划。</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（5）编制依据</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根据《中华人民共和国环境保护法》、《中华人民共和国环境影响评价法》和《建设项目环境保护管理条例》等法律法规，本项目需进行环境影响评价，为此，</w:t>
            </w:r>
            <w:r>
              <w:rPr>
                <w:rFonts w:hint="eastAsia" w:ascii="Times New Roman" w:hAnsi="Times New Roman" w:eastAsia="宋体" w:cs="Times New Roman"/>
                <w:color w:val="auto"/>
                <w:sz w:val="24"/>
                <w:szCs w:val="24"/>
                <w:lang w:eastAsia="zh-CN"/>
              </w:rPr>
              <w:t>柳林县鑫创设备再制造科技有限公司</w:t>
            </w:r>
            <w:r>
              <w:rPr>
                <w:rFonts w:ascii="Times New Roman" w:hAnsi="Times New Roman" w:eastAsia="宋体" w:cs="Times New Roman"/>
                <w:color w:val="auto"/>
                <w:sz w:val="24"/>
                <w:szCs w:val="24"/>
                <w:highlight w:val="none"/>
              </w:rPr>
              <w:t>于2021年</w:t>
            </w:r>
            <w:r>
              <w:rPr>
                <w:rFonts w:hint="eastAsia" w:ascii="Times New Roman" w:hAnsi="Times New Roman" w:eastAsia="宋体" w:cs="Times New Roman"/>
                <w:color w:val="auto"/>
                <w:sz w:val="24"/>
                <w:szCs w:val="24"/>
                <w:highlight w:val="none"/>
                <w:lang w:val="en-US" w:eastAsia="zh-CN"/>
              </w:rPr>
              <w:t>5</w:t>
            </w:r>
            <w:r>
              <w:rPr>
                <w:rFonts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18</w:t>
            </w:r>
            <w:r>
              <w:rPr>
                <w:rFonts w:ascii="Times New Roman" w:hAnsi="Times New Roman" w:eastAsia="宋体" w:cs="Times New Roman"/>
                <w:color w:val="auto"/>
                <w:sz w:val="24"/>
                <w:szCs w:val="24"/>
                <w:highlight w:val="none"/>
              </w:rPr>
              <w:t>日委托</w:t>
            </w:r>
            <w:r>
              <w:rPr>
                <w:rFonts w:hint="eastAsia" w:ascii="Times New Roman" w:hAnsi="Times New Roman" w:eastAsia="宋体" w:cs="Times New Roman"/>
                <w:color w:val="auto"/>
                <w:sz w:val="24"/>
                <w:szCs w:val="24"/>
                <w:highlight w:val="none"/>
                <w:lang w:val="en-US" w:eastAsia="zh-CN"/>
              </w:rPr>
              <w:t>我单位</w:t>
            </w:r>
            <w:r>
              <w:rPr>
                <w:rFonts w:ascii="Times New Roman" w:hAnsi="Times New Roman" w:eastAsia="宋体" w:cs="Times New Roman"/>
                <w:color w:val="auto"/>
                <w:sz w:val="24"/>
                <w:szCs w:val="24"/>
              </w:rPr>
              <w:t>承担本项目环境影响评价工作。接受委托后，我公司立即组织项目参评人员到建设地点进行实地勘察和资料收集，在对项目工艺流程进行了解的基础上，对项目周围的自然环境、社会环境和地质情况等也进行了深入的了解和调查。现场踏勘期间，本项目还未开工建设。</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根据《建设项目环境影响评价分类管理名录（2021年版）》（生态环境部令第16号），本项目为腐竹生产项目，属于“</w:t>
            </w:r>
            <w:r>
              <w:rPr>
                <w:rFonts w:hint="eastAsia" w:ascii="Times New Roman" w:hAnsi="Times New Roman" w:eastAsia="宋体" w:cs="Times New Roman"/>
                <w:color w:val="auto"/>
                <w:sz w:val="24"/>
                <w:szCs w:val="24"/>
                <w:lang w:val="en-US" w:eastAsia="zh-CN"/>
              </w:rPr>
              <w:t>四</w:t>
            </w:r>
            <w:r>
              <w:rPr>
                <w:rFonts w:ascii="Times New Roman" w:hAnsi="Times New Roman" w:eastAsia="宋体" w:cs="Times New Roman"/>
                <w:color w:val="auto"/>
                <w:sz w:val="24"/>
                <w:szCs w:val="24"/>
              </w:rPr>
              <w:t>十、</w:t>
            </w:r>
            <w:r>
              <w:rPr>
                <w:rFonts w:hint="eastAsia" w:ascii="Times New Roman" w:hAnsi="Times New Roman" w:eastAsia="宋体"/>
                <w:color w:val="auto"/>
                <w:sz w:val="24"/>
              </w:rPr>
              <w:t>金属制品、机械和设备修理业</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kern w:val="0"/>
                <w:sz w:val="24"/>
                <w:szCs w:val="24"/>
                <w:lang w:val="en-US" w:eastAsia="zh-CN"/>
              </w:rPr>
              <w:t>86专用设备修理</w:t>
            </w:r>
            <w:r>
              <w:rPr>
                <w:rFonts w:ascii="Times New Roman" w:hAnsi="Times New Roman" w:eastAsia="宋体" w:cs="Times New Roman"/>
                <w:color w:val="auto"/>
                <w:sz w:val="24"/>
                <w:szCs w:val="24"/>
              </w:rPr>
              <w:t>”项目类别中“</w:t>
            </w:r>
            <w:r>
              <w:rPr>
                <w:rFonts w:hint="eastAsia" w:ascii="Times New Roman" w:hAnsi="Times New Roman" w:eastAsia="宋体" w:cs="Times New Roman"/>
                <w:color w:val="auto"/>
                <w:sz w:val="24"/>
                <w:szCs w:val="24"/>
                <w:lang w:val="en-US" w:eastAsia="zh-CN"/>
              </w:rPr>
              <w:t>年用溶剂型涂料（含稀释剂）10t以下，或年用非溶剂型低VOCs含量涂料10t以上的</w:t>
            </w:r>
            <w:r>
              <w:rPr>
                <w:rFonts w:ascii="Times New Roman" w:hAnsi="Times New Roman" w:eastAsia="宋体" w:cs="Times New Roman"/>
                <w:color w:val="auto"/>
                <w:sz w:val="24"/>
                <w:szCs w:val="24"/>
              </w:rPr>
              <w:t>”，应编制环境影响报告表。根据《建设项目环境影响报告表编制技术指南（污染影响类）（试行）》及有关环评导则规范，结合本项目的相关资料，本着“科学、公正、客观”的态度，编制完成了《</w:t>
            </w:r>
            <w:r>
              <w:rPr>
                <w:rFonts w:hint="eastAsia" w:ascii="Times New Roman" w:hAnsi="Times New Roman" w:eastAsia="宋体" w:cs="Times New Roman"/>
                <w:color w:val="auto"/>
                <w:sz w:val="24"/>
                <w:szCs w:val="24"/>
                <w:lang w:eastAsia="zh-CN"/>
              </w:rPr>
              <w:t>柳林县鑫创设备再制造科技有限公司矿山设备加工及维修项目</w:t>
            </w:r>
            <w:r>
              <w:rPr>
                <w:rFonts w:ascii="Times New Roman" w:hAnsi="Times New Roman" w:eastAsia="宋体" w:cs="Times New Roman"/>
                <w:color w:val="auto"/>
                <w:sz w:val="24"/>
                <w:szCs w:val="24"/>
              </w:rPr>
              <w:t>环境影响报告表（报审稿）》。</w:t>
            </w: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p>
          <w:p>
            <w:pPr>
              <w:pStyle w:val="10"/>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pStyle w:val="10"/>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pStyle w:val="10"/>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pStyle w:val="10"/>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pStyle w:val="10"/>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pStyle w:val="10"/>
              <w:rPr>
                <w:rFonts w:ascii="Times New Roman" w:hAnsi="Times New Roman" w:eastAsia="宋体"/>
                <w:color w:val="auto"/>
              </w:rPr>
            </w:pPr>
          </w:p>
          <w:p>
            <w:pPr>
              <w:widowControl/>
              <w:overflowPunct w:val="0"/>
              <w:autoSpaceDE w:val="0"/>
              <w:autoSpaceDN w:val="0"/>
              <w:spacing w:line="480" w:lineRule="exact"/>
              <w:ind w:firstLine="480" w:firstLineChars="200"/>
              <w:rPr>
                <w:rFonts w:ascii="Times New Roman" w:hAnsi="Times New Roman" w:eastAsia="宋体" w:cs="Times New Roman"/>
                <w:color w:val="auto"/>
                <w:sz w:val="24"/>
                <w:szCs w:val="24"/>
              </w:rPr>
            </w:pPr>
          </w:p>
          <w:p>
            <w:pPr>
              <w:widowControl/>
              <w:overflowPunct w:val="0"/>
              <w:autoSpaceDE w:val="0"/>
              <w:autoSpaceDN w:val="0"/>
              <w:spacing w:line="480" w:lineRule="exact"/>
              <w:rPr>
                <w:rFonts w:ascii="Times New Roman" w:hAnsi="Times New Roman" w:eastAsia="宋体" w:cs="Times New Roman"/>
                <w:b/>
                <w:bCs/>
                <w:color w:val="auto"/>
                <w:sz w:val="24"/>
                <w:szCs w:val="24"/>
                <w:highlight w:val="green"/>
              </w:rPr>
            </w:pPr>
          </w:p>
        </w:tc>
      </w:tr>
    </w:tbl>
    <w:p>
      <w:pPr>
        <w:rPr>
          <w:rFonts w:ascii="Times New Roman" w:hAnsi="Times New Roman" w:eastAsia="宋体"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156" w:beforeLines="50" w:after="156" w:afterLines="50" w:line="240" w:lineRule="auto"/>
        <w:ind w:left="0" w:firstLine="0"/>
        <w:jc w:val="center"/>
        <w:rPr>
          <w:rFonts w:ascii="Times New Roman" w:hAnsi="Times New Roman" w:eastAsia="宋体"/>
          <w:b w:val="0"/>
          <w:bCs w:val="0"/>
          <w:color w:val="auto"/>
        </w:rPr>
      </w:pPr>
      <w:r>
        <w:rPr>
          <w:rFonts w:ascii="Times New Roman" w:hAnsi="Times New Roman" w:eastAsia="宋体"/>
          <w:b w:val="0"/>
          <w:bCs w:val="0"/>
          <w:color w:val="auto"/>
        </w:rPr>
        <w:t>二、建设项目工程分析</w:t>
      </w:r>
    </w:p>
    <w:tbl>
      <w:tblPr>
        <w:tblStyle w:val="20"/>
        <w:tblW w:w="54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9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tcBorders>
              <w:tl2br w:val="nil"/>
              <w:tr2bl w:val="nil"/>
            </w:tcBorders>
            <w:vAlign w:val="center"/>
          </w:tcPr>
          <w:p>
            <w:pPr>
              <w:spacing w:line="480" w:lineRule="exact"/>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建设内容</w:t>
            </w:r>
          </w:p>
        </w:tc>
        <w:tc>
          <w:tcPr>
            <w:tcW w:w="4580" w:type="pct"/>
            <w:tcBorders>
              <w:tl2br w:val="nil"/>
              <w:tr2bl w:val="nil"/>
            </w:tcBorders>
          </w:tcPr>
          <w:p>
            <w:pPr>
              <w:widowControl/>
              <w:spacing w:line="480" w:lineRule="exact"/>
              <w:ind w:firstLine="480" w:firstLineChars="200"/>
              <w:rPr>
                <w:rFonts w:hint="eastAsia"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rPr>
              <w:t>（1）建设规模：</w:t>
            </w:r>
            <w:r>
              <w:rPr>
                <w:rFonts w:hint="eastAsia" w:ascii="Times New Roman" w:hAnsi="Times New Roman" w:eastAsia="宋体"/>
                <w:color w:val="auto"/>
                <w:sz w:val="24"/>
                <w:szCs w:val="21"/>
              </w:rPr>
              <w:t>年修理采掘机、破碎机8部、液压支架1500架、乳化液泵、喷雾泵10部、刮板输送机、带式输送机16部、电气设备500台</w:t>
            </w:r>
            <w:r>
              <w:rPr>
                <w:rFonts w:hint="eastAsia" w:ascii="Times New Roman" w:hAnsi="Times New Roman" w:eastAsia="宋体"/>
                <w:color w:val="auto"/>
                <w:sz w:val="24"/>
                <w:szCs w:val="21"/>
                <w:lang w:eastAsia="zh-CN"/>
              </w:rPr>
              <w:t>。</w:t>
            </w:r>
          </w:p>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（2）建设性质：新建</w:t>
            </w:r>
          </w:p>
          <w:p>
            <w:pPr>
              <w:widowControl/>
              <w:spacing w:line="480" w:lineRule="exact"/>
              <w:ind w:firstLine="480" w:firstLineChars="200"/>
              <w:rPr>
                <w:rFonts w:hint="eastAsia"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rPr>
              <w:t>（3）职工定员：</w:t>
            </w: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0人</w:t>
            </w:r>
            <w:r>
              <w:rPr>
                <w:rFonts w:hint="eastAsia" w:ascii="Times New Roman" w:hAnsi="Times New Roman" w:eastAsia="宋体"/>
                <w:color w:val="auto"/>
                <w:sz w:val="24"/>
              </w:rPr>
              <w:t>，</w:t>
            </w:r>
            <w:r>
              <w:rPr>
                <w:rFonts w:ascii="Times New Roman" w:hAnsi="Times New Roman" w:eastAsia="宋体"/>
                <w:bCs/>
                <w:color w:val="auto"/>
                <w:sz w:val="24"/>
              </w:rPr>
              <w:t>其中工人</w:t>
            </w:r>
            <w:r>
              <w:rPr>
                <w:rFonts w:hint="eastAsia" w:ascii="Times New Roman" w:hAnsi="Times New Roman" w:eastAsia="宋体"/>
                <w:bCs/>
                <w:color w:val="auto"/>
                <w:sz w:val="24"/>
                <w:lang w:val="en-US" w:eastAsia="zh-CN"/>
              </w:rPr>
              <w:t>4</w:t>
            </w:r>
            <w:r>
              <w:rPr>
                <w:rFonts w:hint="eastAsia" w:ascii="Times New Roman" w:hAnsi="Times New Roman" w:eastAsia="宋体"/>
                <w:bCs/>
                <w:color w:val="auto"/>
                <w:sz w:val="24"/>
              </w:rPr>
              <w:t>0人</w:t>
            </w:r>
            <w:r>
              <w:rPr>
                <w:rFonts w:ascii="Times New Roman" w:hAnsi="Times New Roman" w:eastAsia="宋体"/>
                <w:bCs/>
                <w:color w:val="auto"/>
                <w:sz w:val="24"/>
              </w:rPr>
              <w:t>，管理人员</w:t>
            </w:r>
            <w:r>
              <w:rPr>
                <w:rFonts w:hint="eastAsia" w:ascii="Times New Roman" w:hAnsi="Times New Roman" w:eastAsia="宋体"/>
                <w:bCs/>
                <w:color w:val="auto"/>
                <w:sz w:val="24"/>
              </w:rPr>
              <w:t>10</w:t>
            </w:r>
            <w:r>
              <w:rPr>
                <w:rFonts w:ascii="Times New Roman" w:hAnsi="Times New Roman" w:eastAsia="宋体"/>
                <w:bCs/>
                <w:color w:val="auto"/>
                <w:sz w:val="24"/>
              </w:rPr>
              <w:t>人</w:t>
            </w:r>
            <w:r>
              <w:rPr>
                <w:rFonts w:hint="eastAsia" w:ascii="Times New Roman" w:hAnsi="Times New Roman" w:eastAsia="宋体"/>
                <w:bCs/>
                <w:color w:val="auto"/>
                <w:sz w:val="24"/>
                <w:lang w:eastAsia="zh-CN"/>
              </w:rPr>
              <w:t>。</w:t>
            </w:r>
          </w:p>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（4）工作制度：年工作300天，</w:t>
            </w:r>
            <w:r>
              <w:rPr>
                <w:rFonts w:hint="eastAsia" w:ascii="Times New Roman" w:hAnsi="Times New Roman" w:eastAsia="宋体" w:cs="Times New Roman"/>
                <w:color w:val="auto"/>
                <w:sz w:val="24"/>
                <w:szCs w:val="24"/>
                <w:lang w:val="en-US" w:eastAsia="zh-CN"/>
              </w:rPr>
              <w:t>一</w:t>
            </w:r>
            <w:r>
              <w:rPr>
                <w:rFonts w:ascii="Times New Roman" w:hAnsi="Times New Roman" w:eastAsia="宋体" w:cs="Times New Roman"/>
                <w:color w:val="auto"/>
                <w:sz w:val="24"/>
                <w:szCs w:val="24"/>
              </w:rPr>
              <w:t>班制，每班8小时。</w:t>
            </w:r>
          </w:p>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（5）</w:t>
            </w:r>
            <w:r>
              <w:rPr>
                <w:rFonts w:ascii="Times New Roman" w:hAnsi="Times New Roman" w:eastAsia="宋体" w:cs="Times New Roman"/>
                <w:bCs/>
                <w:color w:val="auto"/>
                <w:sz w:val="24"/>
                <w:szCs w:val="24"/>
              </w:rPr>
              <w:t>建设地点：位于</w:t>
            </w:r>
            <w:r>
              <w:rPr>
                <w:rFonts w:ascii="Times New Roman" w:hAnsi="Times New Roman" w:eastAsia="宋体" w:cs="Times New Roman"/>
                <w:color w:val="auto"/>
                <w:sz w:val="24"/>
                <w:szCs w:val="24"/>
              </w:rPr>
              <w:t>柳林县</w:t>
            </w:r>
            <w:r>
              <w:rPr>
                <w:rFonts w:hint="eastAsia" w:ascii="Times New Roman" w:hAnsi="Times New Roman" w:eastAsia="宋体" w:cs="Times New Roman"/>
                <w:color w:val="auto"/>
                <w:sz w:val="24"/>
                <w:szCs w:val="24"/>
                <w:lang w:eastAsia="zh-CN"/>
              </w:rPr>
              <w:t>柳林镇穆家焉村聚鸦公路向北5km处</w:t>
            </w:r>
            <w:r>
              <w:rPr>
                <w:rFonts w:ascii="Times New Roman" w:hAnsi="Times New Roman" w:eastAsia="宋体" w:cs="Times New Roman"/>
                <w:bCs/>
                <w:color w:val="auto"/>
                <w:sz w:val="24"/>
                <w:szCs w:val="24"/>
              </w:rPr>
              <w:t>，项目</w:t>
            </w:r>
            <w:r>
              <w:rPr>
                <w:rFonts w:ascii="Times New Roman" w:hAnsi="Times New Roman" w:eastAsia="宋体"/>
                <w:color w:val="auto"/>
                <w:sz w:val="24"/>
              </w:rPr>
              <w:t>北侧为</w:t>
            </w:r>
            <w:r>
              <w:rPr>
                <w:rFonts w:hint="eastAsia" w:ascii="Times New Roman" w:hAnsi="Times New Roman" w:eastAsia="宋体"/>
                <w:color w:val="auto"/>
                <w:sz w:val="24"/>
              </w:rPr>
              <w:t>柳林县大成商砼有限公司</w:t>
            </w:r>
            <w:r>
              <w:rPr>
                <w:rFonts w:ascii="Times New Roman" w:hAnsi="Times New Roman" w:eastAsia="宋体"/>
                <w:color w:val="auto"/>
                <w:sz w:val="24"/>
              </w:rPr>
              <w:t>，东侧为荒坡，西侧为聚雅公路，隔路为荒坡，南侧为荒地</w:t>
            </w:r>
            <w:r>
              <w:rPr>
                <w:rFonts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rPr>
              <w:t>厂</w:t>
            </w:r>
            <w:r>
              <w:rPr>
                <w:rFonts w:ascii="Times New Roman" w:hAnsi="Times New Roman" w:eastAsia="宋体" w:cs="Times New Roman"/>
                <w:bCs/>
                <w:color w:val="auto"/>
                <w:sz w:val="24"/>
                <w:szCs w:val="24"/>
              </w:rPr>
              <w:t>区中心地理坐标为：东经</w:t>
            </w:r>
            <w:r>
              <w:rPr>
                <w:rFonts w:ascii="Times New Roman" w:hAnsi="Times New Roman" w:eastAsia="宋体" w:cs="Times New Roman"/>
                <w:color w:val="auto"/>
                <w:sz w:val="24"/>
                <w:szCs w:val="24"/>
              </w:rPr>
              <w:t>110°</w:t>
            </w:r>
            <w:r>
              <w:rPr>
                <w:rFonts w:hint="eastAsia" w:ascii="Times New Roman" w:hAnsi="Times New Roman" w:eastAsia="宋体" w:cs="Times New Roman"/>
                <w:color w:val="auto"/>
                <w:sz w:val="24"/>
                <w:szCs w:val="24"/>
                <w:lang w:val="en-US" w:eastAsia="zh-CN"/>
              </w:rPr>
              <w:t>55</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42.661</w:t>
            </w:r>
            <w:r>
              <w:rPr>
                <w:rFonts w:ascii="Times New Roman" w:hAnsi="Times New Roman" w:eastAsia="宋体" w:cs="Times New Roman"/>
                <w:color w:val="auto"/>
                <w:sz w:val="24"/>
                <w:szCs w:val="24"/>
              </w:rPr>
              <w:t>″</w:t>
            </w:r>
            <w:r>
              <w:rPr>
                <w:rFonts w:ascii="Times New Roman" w:hAnsi="Times New Roman" w:eastAsia="宋体" w:cs="Times New Roman"/>
                <w:bCs/>
                <w:color w:val="auto"/>
                <w:sz w:val="24"/>
                <w:szCs w:val="24"/>
              </w:rPr>
              <w:t>，北纬</w:t>
            </w:r>
            <w:r>
              <w:rPr>
                <w:rFonts w:ascii="Times New Roman" w:hAnsi="Times New Roman" w:eastAsia="宋体" w:cs="Times New Roman"/>
                <w:color w:val="auto"/>
                <w:sz w:val="24"/>
                <w:szCs w:val="24"/>
              </w:rPr>
              <w:t>37°2</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26.618</w:t>
            </w:r>
            <w:r>
              <w:rPr>
                <w:rFonts w:ascii="Times New Roman" w:hAnsi="Times New Roman" w:eastAsia="宋体" w:cs="Times New Roman"/>
                <w:color w:val="auto"/>
                <w:sz w:val="24"/>
                <w:szCs w:val="24"/>
              </w:rPr>
              <w:t>″</w:t>
            </w:r>
            <w:r>
              <w:rPr>
                <w:rFonts w:ascii="Times New Roman" w:hAnsi="Times New Roman" w:eastAsia="宋体" w:cs="Times New Roman"/>
                <w:bCs/>
                <w:color w:val="auto"/>
                <w:sz w:val="24"/>
                <w:szCs w:val="24"/>
              </w:rPr>
              <w:t>。本项目地理位置见附图1，四邻关系见附图2。</w:t>
            </w:r>
          </w:p>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（6）主要建设内容</w:t>
            </w:r>
          </w:p>
          <w:p>
            <w:pPr>
              <w:widowControl/>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现场踏勘期间，本项目还未开工建设，占地范围内地势平坦、地表土壤裸露且无任何建构筑物，施工期不涉及任何拆除活动。本项目建设</w:t>
            </w:r>
            <w:r>
              <w:rPr>
                <w:rFonts w:hint="eastAsia" w:ascii="Times New Roman" w:hAnsi="Times New Roman" w:eastAsia="宋体" w:cs="Times New Roman"/>
                <w:color w:val="auto"/>
                <w:sz w:val="24"/>
                <w:szCs w:val="24"/>
                <w:lang w:val="en-US" w:eastAsia="zh-CN"/>
              </w:rPr>
              <w:t>装配</w:t>
            </w:r>
            <w:r>
              <w:rPr>
                <w:rFonts w:ascii="Times New Roman" w:hAnsi="Times New Roman" w:eastAsia="宋体" w:cs="Times New Roman"/>
                <w:color w:val="auto"/>
                <w:sz w:val="24"/>
                <w:szCs w:val="24"/>
              </w:rPr>
              <w:t>车间、</w:t>
            </w:r>
            <w:r>
              <w:rPr>
                <w:rFonts w:hint="eastAsia" w:ascii="Times New Roman" w:hAnsi="Times New Roman" w:eastAsia="宋体" w:cs="Times New Roman"/>
                <w:color w:val="auto"/>
                <w:sz w:val="24"/>
                <w:szCs w:val="24"/>
                <w:lang w:val="en-US" w:eastAsia="zh-CN"/>
              </w:rPr>
              <w:t>加工车间</w:t>
            </w:r>
            <w:r>
              <w:rPr>
                <w:rFonts w:ascii="Times New Roman" w:hAnsi="Times New Roman" w:eastAsia="宋体" w:cs="Times New Roman"/>
                <w:color w:val="auto"/>
                <w:sz w:val="24"/>
                <w:szCs w:val="24"/>
              </w:rPr>
              <w:t>、业务用房</w:t>
            </w:r>
            <w:r>
              <w:rPr>
                <w:rFonts w:hint="eastAsia" w:ascii="Times New Roman" w:hAnsi="Times New Roman" w:eastAsia="宋体" w:cs="Times New Roman"/>
                <w:color w:val="auto"/>
                <w:sz w:val="24"/>
                <w:szCs w:val="24"/>
                <w:lang w:val="en-US" w:eastAsia="zh-CN"/>
              </w:rPr>
              <w:t>及相关配套设施</w:t>
            </w:r>
            <w:r>
              <w:rPr>
                <w:rFonts w:ascii="Times New Roman" w:hAnsi="Times New Roman" w:eastAsia="宋体" w:cs="Times New Roman"/>
                <w:color w:val="auto"/>
                <w:sz w:val="24"/>
                <w:szCs w:val="24"/>
              </w:rPr>
              <w:t>等相关设施建设，主要建设内容见表3。</w:t>
            </w:r>
          </w:p>
          <w:p>
            <w:pPr>
              <w:adjustRightInd w:val="0"/>
              <w:snapToGrid w:val="0"/>
              <w:spacing w:line="480" w:lineRule="exact"/>
              <w:jc w:val="center"/>
              <w:rPr>
                <w:rFonts w:ascii="Times New Roman" w:hAnsi="Times New Roman" w:eastAsia="宋体" w:cs="Times New Roman"/>
                <w:b/>
                <w:bCs w:val="0"/>
                <w:color w:val="auto"/>
              </w:rPr>
            </w:pPr>
            <w:r>
              <w:rPr>
                <w:rFonts w:ascii="Times New Roman" w:hAnsi="Times New Roman" w:eastAsia="宋体" w:cs="Times New Roman"/>
                <w:b/>
                <w:bCs w:val="0"/>
                <w:color w:val="auto"/>
              </w:rPr>
              <w:t>表3主要建设内容一览表</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145"/>
              <w:gridCol w:w="1621"/>
              <w:gridCol w:w="72"/>
              <w:gridCol w:w="1367"/>
              <w:gridCol w:w="2939"/>
              <w:gridCol w:w="1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153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设施名称</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建筑面积（m</w:t>
                  </w:r>
                  <w:r>
                    <w:rPr>
                      <w:rFonts w:hint="eastAsia" w:ascii="Times New Roman" w:hAnsi="Times New Roman" w:eastAsia="宋体"/>
                      <w:color w:val="auto"/>
                      <w:sz w:val="21"/>
                      <w:szCs w:val="21"/>
                      <w:vertAlign w:val="superscript"/>
                    </w:rPr>
                    <w:t>2</w:t>
                  </w:r>
                  <w:r>
                    <w:rPr>
                      <w:rFonts w:hint="eastAsia" w:ascii="Times New Roman" w:hAnsi="Times New Roman" w:eastAsia="宋体"/>
                      <w:color w:val="auto"/>
                      <w:sz w:val="21"/>
                      <w:szCs w:val="21"/>
                    </w:rPr>
                    <w:t>）</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结构</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主体工程</w:t>
                  </w:r>
                </w:p>
              </w:tc>
              <w:tc>
                <w:tcPr>
                  <w:tcW w:w="153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支架</w:t>
                  </w:r>
                  <w:r>
                    <w:rPr>
                      <w:rFonts w:hint="eastAsia" w:ascii="Times New Roman" w:hAnsi="Times New Roman" w:eastAsia="宋体"/>
                      <w:color w:val="auto"/>
                      <w:sz w:val="21"/>
                      <w:szCs w:val="21"/>
                      <w:lang w:val="en-US" w:eastAsia="zh-CN"/>
                    </w:rPr>
                    <w:t>存放区</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109×18</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钢结构</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全封闭厂房</w:t>
                  </w: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val="en-US" w:eastAsia="zh-CN"/>
                    </w:rPr>
                    <w:t>立柱千金车间</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21×88</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位于全封闭钢结构厂房内</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val="en-US" w:eastAsia="zh-CN"/>
                    </w:rPr>
                    <w:t>支架组装车间</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21×88</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位于全封闭钢结构厂房内</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val="en-US" w:eastAsia="zh-CN"/>
                    </w:rPr>
                    <w:t>直接拆解车间</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27×88</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位于全封闭钢结构厂房内</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val="en-US" w:eastAsia="zh-CN"/>
                    </w:rPr>
                    <w:t>单体维修车间</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27×88</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位于全封闭钢结构厂房内</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eastAsia="zh-CN"/>
                    </w:rPr>
                    <w:t>喷漆房</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400</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全封闭结构，位于全封闭钢结构厂房内</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辅助工程</w:t>
                  </w:r>
                </w:p>
              </w:tc>
              <w:tc>
                <w:tcPr>
                  <w:tcW w:w="153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办公</w:t>
                  </w:r>
                  <w:r>
                    <w:rPr>
                      <w:rFonts w:hint="eastAsia" w:ascii="Times New Roman" w:hAnsi="Times New Roman" w:eastAsia="宋体"/>
                      <w:color w:val="auto"/>
                      <w:sz w:val="21"/>
                      <w:szCs w:val="21"/>
                    </w:rPr>
                    <w:t>楼</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42×9</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rPr>
                    <w:t>砖混</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位于全封闭厂房南段</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153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宿舍楼</w:t>
                  </w:r>
                </w:p>
              </w:tc>
              <w:tc>
                <w:tcPr>
                  <w:tcW w:w="79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54×9</w:t>
                  </w:r>
                </w:p>
              </w:tc>
              <w:tc>
                <w:tcPr>
                  <w:tcW w:w="16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砖混</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位于全封闭厂房南段</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环保工程</w:t>
                  </w:r>
                </w:p>
              </w:tc>
              <w:tc>
                <w:tcPr>
                  <w:tcW w:w="6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大气污染防治</w:t>
                  </w: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rPr>
                    <w:t>焊接烟气</w:t>
                  </w:r>
                </w:p>
              </w:tc>
              <w:tc>
                <w:tcPr>
                  <w:tcW w:w="242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rPr>
                    <w:t>配备</w:t>
                  </w:r>
                  <w:r>
                    <w:rPr>
                      <w:rFonts w:hint="eastAsia" w:ascii="Times New Roman" w:hAnsi="Times New Roman" w:eastAsia="宋体"/>
                      <w:color w:val="auto"/>
                      <w:sz w:val="21"/>
                      <w:szCs w:val="21"/>
                    </w:rPr>
                    <w:t>移动式</w:t>
                  </w:r>
                  <w:r>
                    <w:rPr>
                      <w:rFonts w:hint="eastAsia" w:ascii="Times New Roman" w:hAnsi="Times New Roman" w:eastAsia="宋体"/>
                      <w:color w:val="auto"/>
                      <w:sz w:val="21"/>
                      <w:szCs w:val="21"/>
                      <w:lang w:eastAsia="zh-CN"/>
                    </w:rPr>
                    <w:t>布袋除尘器</w:t>
                  </w:r>
                  <w:r>
                    <w:rPr>
                      <w:rFonts w:hint="eastAsia" w:ascii="Times New Roman" w:hAnsi="Times New Roman" w:eastAsia="宋体"/>
                      <w:color w:val="auto"/>
                      <w:sz w:val="21"/>
                      <w:szCs w:val="21"/>
                    </w:rPr>
                    <w:t>对焊接时产生的烟尘进行净化</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喷砂废气</w:t>
                  </w:r>
                </w:p>
              </w:tc>
              <w:tc>
                <w:tcPr>
                  <w:tcW w:w="242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喷砂车间全封闭，喷砂过程中产生的废气经喷砂机自带布袋除尘器，除尘效率大于</w:t>
                  </w:r>
                  <w:r>
                    <w:rPr>
                      <w:rFonts w:hint="default" w:ascii="Times New Roman" w:hAnsi="Times New Roman" w:eastAsia="宋体"/>
                      <w:snapToGrid w:val="0"/>
                      <w:color w:val="auto"/>
                      <w:sz w:val="21"/>
                      <w:szCs w:val="21"/>
                      <w:lang w:val="en-US" w:eastAsia="zh-CN"/>
                    </w:rPr>
                    <w:t>98%</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宋体"/>
                      <w:color w:val="auto"/>
                      <w:spacing w:val="11"/>
                      <w:kern w:val="0"/>
                      <w:sz w:val="21"/>
                      <w:szCs w:val="21"/>
                      <w:lang w:val="en-US" w:eastAsia="zh-CN" w:bidi="ar-SA"/>
                    </w:rPr>
                  </w:pPr>
                  <w:r>
                    <w:rPr>
                      <w:rFonts w:hint="eastAsia" w:ascii="Times New Roman" w:hAnsi="Times New Roman" w:eastAsia="宋体" w:cs="宋体"/>
                      <w:color w:val="auto"/>
                      <w:spacing w:val="11"/>
                      <w:kern w:val="0"/>
                      <w:sz w:val="21"/>
                      <w:szCs w:val="21"/>
                      <w:lang w:val="en-US" w:eastAsia="zh-CN"/>
                    </w:rPr>
                    <w:t>喷漆</w:t>
                  </w:r>
                  <w:r>
                    <w:rPr>
                      <w:rFonts w:hint="eastAsia" w:ascii="Times New Roman" w:hAnsi="Times New Roman" w:eastAsia="宋体" w:cs="宋体"/>
                      <w:color w:val="auto"/>
                      <w:spacing w:val="11"/>
                      <w:kern w:val="0"/>
                      <w:sz w:val="21"/>
                      <w:szCs w:val="21"/>
                    </w:rPr>
                    <w:t>废气</w:t>
                  </w:r>
                </w:p>
              </w:tc>
              <w:tc>
                <w:tcPr>
                  <w:tcW w:w="242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喷漆车间全封闭，喷漆及晾干过程产生的有机废气经集气罩+过滤棉+活性炭吸附装置处理后，经15m烟筒排放。收集效率为95%，过滤棉净化效率为80%，活性炭吸附/脱附+催化燃烧去除率90%，排风量为</w:t>
                  </w:r>
                  <w:bookmarkStart w:id="2" w:name="_GoBack"/>
                  <w:r>
                    <w:rPr>
                      <w:rFonts w:hint="eastAsia" w:ascii="Times New Roman" w:hAnsi="Times New Roman" w:eastAsia="宋体"/>
                      <w:snapToGrid w:val="0"/>
                      <w:color w:val="auto"/>
                      <w:sz w:val="21"/>
                      <w:szCs w:val="21"/>
                      <w:lang w:val="en-US" w:eastAsia="zh-CN"/>
                    </w:rPr>
                    <w:t>40000m</w:t>
                  </w:r>
                  <w:bookmarkEnd w:id="2"/>
                  <w:r>
                    <w:rPr>
                      <w:rFonts w:hint="eastAsia" w:ascii="Times New Roman" w:hAnsi="Times New Roman" w:eastAsia="宋体"/>
                      <w:snapToGrid w:val="0"/>
                      <w:color w:val="auto"/>
                      <w:sz w:val="21"/>
                      <w:szCs w:val="21"/>
                      <w:vertAlign w:val="superscript"/>
                      <w:lang w:val="en-US" w:eastAsia="zh-CN"/>
                    </w:rPr>
                    <w:t>3</w:t>
                  </w:r>
                  <w:r>
                    <w:rPr>
                      <w:rFonts w:hint="eastAsia" w:ascii="Times New Roman" w:hAnsi="Times New Roman" w:eastAsia="宋体"/>
                      <w:snapToGrid w:val="0"/>
                      <w:color w:val="auto"/>
                      <w:sz w:val="21"/>
                      <w:szCs w:val="21"/>
                      <w:lang w:val="en-US" w:eastAsia="zh-CN"/>
                    </w:rPr>
                    <w:t>/h。</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宋体"/>
                      <w:color w:val="auto"/>
                      <w:spacing w:val="11"/>
                      <w:kern w:val="0"/>
                      <w:sz w:val="21"/>
                      <w:szCs w:val="21"/>
                    </w:rPr>
                  </w:pPr>
                  <w:r>
                    <w:rPr>
                      <w:rFonts w:hint="eastAsia" w:ascii="Times New Roman" w:hAnsi="Times New Roman" w:eastAsia="宋体"/>
                      <w:color w:val="auto"/>
                      <w:sz w:val="21"/>
                      <w:szCs w:val="21"/>
                    </w:rPr>
                    <w:t>食堂油烟</w:t>
                  </w:r>
                </w:p>
              </w:tc>
              <w:tc>
                <w:tcPr>
                  <w:tcW w:w="242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s="Times New Roman"/>
                      <w:color w:val="auto"/>
                      <w:spacing w:val="6"/>
                      <w:kern w:val="0"/>
                      <w:sz w:val="21"/>
                      <w:szCs w:val="21"/>
                      <w:lang w:val="en-US" w:eastAsia="zh-CN"/>
                    </w:rPr>
                    <w:t>本项目厨房燃料采用天然气，并按照有油烟净化器</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污水防治</w:t>
                  </w: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生活污水</w:t>
                  </w:r>
                </w:p>
              </w:tc>
              <w:tc>
                <w:tcPr>
                  <w:tcW w:w="2428"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tLeast"/>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新建1做10m</w:t>
                  </w:r>
                  <w:r>
                    <w:rPr>
                      <w:rFonts w:hint="eastAsia" w:ascii="Times New Roman" w:hAnsi="Times New Roman" w:eastAsia="宋体"/>
                      <w:color w:val="auto"/>
                      <w:sz w:val="21"/>
                      <w:szCs w:val="21"/>
                      <w:vertAlign w:val="superscript"/>
                      <w:lang w:val="en-US" w:eastAsia="zh-CN"/>
                    </w:rPr>
                    <w:t>3</w:t>
                  </w:r>
                  <w:r>
                    <w:rPr>
                      <w:rFonts w:hint="eastAsia" w:ascii="Times New Roman" w:hAnsi="Times New Roman" w:eastAsia="宋体"/>
                      <w:color w:val="auto"/>
                      <w:sz w:val="21"/>
                      <w:szCs w:val="21"/>
                      <w:lang w:val="en-US" w:eastAsia="zh-CN"/>
                    </w:rPr>
                    <w:t>沉淀池，生活污水主要是洗漱废水，经沉淀池收集</w:t>
                  </w:r>
                  <w:r>
                    <w:rPr>
                      <w:rFonts w:hint="eastAsia" w:ascii="Times New Roman" w:hAnsi="Times New Roman" w:eastAsia="宋体"/>
                      <w:color w:val="auto"/>
                      <w:sz w:val="21"/>
                      <w:szCs w:val="21"/>
                    </w:rPr>
                    <w:t>后回用</w:t>
                  </w:r>
                  <w:r>
                    <w:rPr>
                      <w:rFonts w:hint="eastAsia" w:ascii="Times New Roman" w:hAnsi="Times New Roman" w:eastAsia="宋体"/>
                      <w:color w:val="auto"/>
                      <w:sz w:val="21"/>
                      <w:szCs w:val="21"/>
                      <w:lang w:val="en-US" w:eastAsia="zh-CN"/>
                    </w:rPr>
                    <w:t>于绿化、道路洒水。</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8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冲洗废水</w:t>
                  </w:r>
                </w:p>
              </w:tc>
              <w:tc>
                <w:tcPr>
                  <w:tcW w:w="242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rPr>
                    <w:t>进入含油废水处理系统，工艺主要为加药絮凝沉淀，处理后回用</w:t>
                  </w:r>
                  <w:r>
                    <w:rPr>
                      <w:rFonts w:hint="eastAsia" w:ascii="Times New Roman" w:hAnsi="Times New Roman" w:eastAsia="宋体"/>
                      <w:color w:val="auto"/>
                      <w:sz w:val="21"/>
                      <w:szCs w:val="21"/>
                      <w:lang w:val="en-US" w:eastAsia="zh-CN"/>
                    </w:rPr>
                    <w:t>于设备冲洗</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ascii="Times New Roman" w:hAnsi="Times New Roman" w:eastAsia="宋体"/>
                      <w:color w:val="auto"/>
                      <w:sz w:val="21"/>
                      <w:szCs w:val="21"/>
                    </w:rPr>
                    <w:t>噪声</w:t>
                  </w:r>
                  <w:r>
                    <w:rPr>
                      <w:rFonts w:hint="eastAsia" w:ascii="Times New Roman" w:hAnsi="Times New Roman" w:eastAsia="宋体"/>
                      <w:color w:val="auto"/>
                      <w:sz w:val="21"/>
                      <w:szCs w:val="21"/>
                    </w:rPr>
                    <w:t>防治</w:t>
                  </w:r>
                </w:p>
              </w:tc>
              <w:tc>
                <w:tcPr>
                  <w:tcW w:w="3327"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主要设备</w:t>
                  </w:r>
                  <w:r>
                    <w:rPr>
                      <w:rFonts w:ascii="Times New Roman" w:hAnsi="Times New Roman" w:eastAsia="宋体"/>
                      <w:color w:val="auto"/>
                      <w:sz w:val="21"/>
                      <w:szCs w:val="21"/>
                    </w:rPr>
                    <w:t>基础减振</w:t>
                  </w:r>
                  <w:r>
                    <w:rPr>
                      <w:rFonts w:hint="eastAsia" w:ascii="Times New Roman" w:hAnsi="Times New Roman" w:eastAsia="宋体"/>
                      <w:color w:val="auto"/>
                      <w:sz w:val="21"/>
                      <w:szCs w:val="21"/>
                    </w:rPr>
                    <w:t>，厂房隔声</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固废防治</w:t>
                  </w:r>
                </w:p>
              </w:tc>
              <w:tc>
                <w:tcPr>
                  <w:tcW w:w="93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生活垃圾</w:t>
                  </w:r>
                </w:p>
              </w:tc>
              <w:tc>
                <w:tcPr>
                  <w:tcW w:w="238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生活垃圾收集箱，定期送环卫指定点处理</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939" w:type="pct"/>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left"/>
                    <w:textAlignment w:val="auto"/>
                    <w:rPr>
                      <w:rFonts w:hint="eastAsia" w:ascii="Times New Roman" w:hAnsi="Times New Roman" w:eastAsia="宋体" w:cs="宋体"/>
                      <w:color w:val="auto"/>
                      <w:kern w:val="0"/>
                      <w:sz w:val="21"/>
                      <w:szCs w:val="21"/>
                      <w:lang w:val="en-US" w:eastAsia="zh-CN" w:bidi="ar"/>
                    </w:rPr>
                  </w:pPr>
                  <w:r>
                    <w:rPr>
                      <w:rFonts w:hint="eastAsia" w:ascii="Times New Roman" w:hAnsi="Times New Roman" w:eastAsia="宋体" w:cs="宋体"/>
                      <w:color w:val="auto"/>
                      <w:kern w:val="0"/>
                      <w:sz w:val="21"/>
                      <w:szCs w:val="21"/>
                      <w:lang w:val="en-US" w:eastAsia="zh-CN" w:bidi="ar"/>
                    </w:rPr>
                    <w:t>除尘灰，</w:t>
                  </w:r>
                  <w:r>
                    <w:rPr>
                      <w:rFonts w:hint="eastAsia" w:ascii="Times New Roman" w:hAnsi="Times New Roman" w:eastAsia="宋体"/>
                      <w:color w:val="auto"/>
                      <w:sz w:val="21"/>
                      <w:szCs w:val="21"/>
                    </w:rPr>
                    <w:t>边角料，铁屑</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废焊条</w:t>
                  </w:r>
                  <w:r>
                    <w:rPr>
                      <w:rFonts w:hint="eastAsia" w:ascii="Times New Roman" w:hAnsi="Times New Roman" w:eastAsia="宋体"/>
                      <w:color w:val="auto"/>
                      <w:sz w:val="21"/>
                      <w:szCs w:val="21"/>
                    </w:rPr>
                    <w:t>等</w:t>
                  </w:r>
                </w:p>
              </w:tc>
              <w:tc>
                <w:tcPr>
                  <w:tcW w:w="2388"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rPr>
                    <w:t>统一收集后外售</w:t>
                  </w:r>
                  <w:r>
                    <w:rPr>
                      <w:rFonts w:hint="eastAsia" w:ascii="Times New Roman" w:hAnsi="Times New Roman" w:eastAsia="宋体"/>
                      <w:color w:val="auto"/>
                      <w:sz w:val="21"/>
                      <w:szCs w:val="21"/>
                      <w:lang w:val="en-US" w:eastAsia="zh-CN"/>
                    </w:rPr>
                    <w:t>当地废品回收公司。</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位于厂区内暂存，要求做到分区堆存，</w:t>
                  </w:r>
                  <w:r>
                    <w:rPr>
                      <w:rFonts w:hint="eastAsia" w:ascii="Times New Roman" w:hAnsi="Times New Roman" w:eastAsia="宋体"/>
                      <w:color w:val="auto"/>
                      <w:sz w:val="21"/>
                      <w:szCs w:val="21"/>
                    </w:rPr>
                    <w:t>经收集后由废品公司统一回收</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需设做好防风、防雨、防晒措施，地面做一般防渗处理，抗渗混凝土，混凝土强度等级不应低于P6，其厚度不宜小于100mm，抗渗混凝土的渗透系数小于10</w:t>
                  </w:r>
                  <w:r>
                    <w:rPr>
                      <w:rFonts w:hint="eastAsia" w:ascii="Times New Roman" w:hAnsi="Times New Roman" w:eastAsia="宋体"/>
                      <w:color w:val="auto"/>
                      <w:sz w:val="21"/>
                      <w:szCs w:val="21"/>
                      <w:vertAlign w:val="superscript"/>
                    </w:rPr>
                    <w:t>-7</w:t>
                  </w:r>
                  <w:r>
                    <w:rPr>
                      <w:rFonts w:hint="eastAsia" w:ascii="Times New Roman" w:hAnsi="Times New Roman" w:eastAsia="宋体"/>
                      <w:color w:val="auto"/>
                      <w:sz w:val="21"/>
                      <w:szCs w:val="21"/>
                    </w:rPr>
                    <w:t>cm/s。</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939" w:type="pct"/>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left"/>
                    <w:textAlignment w:val="auto"/>
                    <w:rPr>
                      <w:rFonts w:hint="eastAsia" w:ascii="Times New Roman" w:hAnsi="Times New Roman" w:eastAsia="宋体" w:cs="宋体"/>
                      <w:color w:val="auto"/>
                      <w:kern w:val="0"/>
                      <w:sz w:val="21"/>
                      <w:szCs w:val="21"/>
                      <w:lang w:val="en-US" w:eastAsia="zh-CN" w:bidi="ar"/>
                    </w:rPr>
                  </w:pPr>
                </w:p>
              </w:tc>
              <w:tc>
                <w:tcPr>
                  <w:tcW w:w="2388" w:type="pct"/>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left"/>
                    <w:textAlignment w:val="auto"/>
                    <w:rPr>
                      <w:rFonts w:hint="eastAsia" w:ascii="Times New Roman" w:hAnsi="Times New Roman" w:eastAsia="宋体" w:cs="宋体"/>
                      <w:color w:val="auto"/>
                      <w:kern w:val="0"/>
                      <w:sz w:val="21"/>
                      <w:szCs w:val="21"/>
                      <w:lang w:val="en-US" w:eastAsia="zh-CN" w:bidi="ar"/>
                    </w:rPr>
                  </w:pP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939"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left"/>
                    <w:textAlignment w:val="auto"/>
                    <w:rPr>
                      <w:rFonts w:hint="eastAsia" w:ascii="Times New Roman" w:hAnsi="Times New Roman" w:eastAsia="宋体"/>
                      <w:color w:val="auto"/>
                      <w:sz w:val="21"/>
                      <w:szCs w:val="21"/>
                    </w:rPr>
                  </w:pPr>
                  <w:r>
                    <w:rPr>
                      <w:rFonts w:hint="eastAsia" w:ascii="Times New Roman" w:hAnsi="Times New Roman" w:eastAsia="宋体" w:cs="宋体"/>
                      <w:color w:val="auto"/>
                      <w:kern w:val="0"/>
                      <w:sz w:val="21"/>
                      <w:szCs w:val="21"/>
                      <w:lang w:val="en-US" w:eastAsia="zh-CN" w:bidi="ar"/>
                    </w:rPr>
                    <w:t>废漆桶</w:t>
                  </w:r>
                  <w:r>
                    <w:rPr>
                      <w:rFonts w:hint="eastAsia" w:ascii="Times New Roman" w:hAnsi="Times New Roman" w:eastAsia="宋体"/>
                      <w:color w:val="auto"/>
                      <w:sz w:val="21"/>
                      <w:szCs w:val="21"/>
                    </w:rPr>
                    <w:t>、</w:t>
                  </w:r>
                  <w:r>
                    <w:rPr>
                      <w:rFonts w:hint="eastAsia" w:ascii="Times New Roman" w:hAnsi="Times New Roman" w:eastAsia="宋体" w:cs="宋体"/>
                      <w:color w:val="auto"/>
                      <w:kern w:val="0"/>
                      <w:sz w:val="21"/>
                      <w:szCs w:val="21"/>
                      <w:lang w:val="en-US" w:eastAsia="zh-CN" w:bidi="ar"/>
                    </w:rPr>
                    <w:t>废活性炭</w:t>
                  </w:r>
                  <w:r>
                    <w:rPr>
                      <w:rFonts w:hint="eastAsia" w:ascii="Times New Roman" w:hAnsi="Times New Roman" w:eastAsia="宋体"/>
                      <w:color w:val="auto"/>
                      <w:sz w:val="21"/>
                      <w:szCs w:val="21"/>
                    </w:rPr>
                    <w:t>、废乳化液</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废润滑油</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废棉纱、手套</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废液压油</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废清洗液</w:t>
                  </w:r>
                  <w:r>
                    <w:rPr>
                      <w:rFonts w:hint="eastAsia" w:ascii="Times New Roman" w:hAnsi="Times New Roman" w:eastAsia="宋体"/>
                      <w:color w:val="auto"/>
                      <w:sz w:val="21"/>
                      <w:szCs w:val="21"/>
                      <w:lang w:val="en-US" w:eastAsia="zh-CN"/>
                    </w:rPr>
                    <w:t>漆渣、</w:t>
                  </w:r>
                  <w:r>
                    <w:rPr>
                      <w:rFonts w:hint="eastAsia" w:ascii="Times New Roman" w:hAnsi="Times New Roman" w:eastAsia="宋体" w:cs="Times New Roman"/>
                      <w:color w:val="auto"/>
                      <w:sz w:val="21"/>
                      <w:szCs w:val="21"/>
                      <w:lang w:val="zh-CN"/>
                    </w:rPr>
                    <w:t>含油废水处理系统产生的污泥</w:t>
                  </w:r>
                  <w:r>
                    <w:rPr>
                      <w:rFonts w:hint="eastAsia" w:ascii="Times New Roman" w:hAnsi="Times New Roman" w:eastAsia="宋体"/>
                      <w:color w:val="auto"/>
                      <w:sz w:val="21"/>
                      <w:szCs w:val="21"/>
                    </w:rPr>
                    <w:t>等</w:t>
                  </w:r>
                </w:p>
              </w:tc>
              <w:tc>
                <w:tcPr>
                  <w:tcW w:w="238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textAlignment w:val="auto"/>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属于危险废物，车间内设暂存间，暂存间做硬化防渗处理，废物暂时存放于塑料桶内，并设立危险废物标识</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建一</w:t>
                  </w:r>
                  <w:r>
                    <w:rPr>
                      <w:rFonts w:hint="eastAsia" w:ascii="Times New Roman" w:hAnsi="Times New Roman" w:eastAsia="宋体"/>
                      <w:color w:val="auto"/>
                      <w:sz w:val="21"/>
                      <w:szCs w:val="21"/>
                    </w:rPr>
                    <w:t>座危废暂存间，占地面积</w:t>
                  </w:r>
                  <w:r>
                    <w:rPr>
                      <w:rFonts w:hint="eastAsia" w:ascii="Times New Roman" w:hAnsi="Times New Roman" w:eastAsia="宋体"/>
                      <w:color w:val="auto"/>
                      <w:sz w:val="21"/>
                      <w:szCs w:val="21"/>
                      <w:lang w:val="en-US" w:eastAsia="zh-CN"/>
                    </w:rPr>
                    <w:t>100</w:t>
                  </w:r>
                  <w:r>
                    <w:rPr>
                      <w:rFonts w:hint="eastAsia" w:ascii="Times New Roman" w:hAnsi="Times New Roman" w:eastAsia="宋体"/>
                      <w:color w:val="auto"/>
                      <w:sz w:val="21"/>
                      <w:szCs w:val="21"/>
                    </w:rPr>
                    <w:t>m</w:t>
                  </w:r>
                  <w:r>
                    <w:rPr>
                      <w:rFonts w:hint="eastAsia" w:ascii="Times New Roman" w:hAnsi="Times New Roman" w:eastAsia="宋体"/>
                      <w:color w:val="auto"/>
                      <w:sz w:val="21"/>
                      <w:szCs w:val="21"/>
                      <w:vertAlign w:val="superscript"/>
                    </w:rPr>
                    <w:t>2</w:t>
                  </w:r>
                  <w:r>
                    <w:rPr>
                      <w:rFonts w:hint="eastAsia" w:ascii="Times New Roman" w:hAnsi="Times New Roman" w:eastAsia="宋体"/>
                      <w:color w:val="auto"/>
                      <w:sz w:val="21"/>
                      <w:szCs w:val="21"/>
                    </w:rPr>
                    <w:t>，</w:t>
                  </w:r>
                  <w:r>
                    <w:rPr>
                      <w:rFonts w:hint="eastAsia" w:ascii="Times New Roman" w:hAnsi="Times New Roman" w:eastAsia="宋体"/>
                      <w:color w:val="auto"/>
                      <w:sz w:val="21"/>
                      <w:szCs w:val="21"/>
                      <w:lang w:eastAsia="zh-CN"/>
                    </w:rPr>
                    <w:t>要求做到分区堆存，</w:t>
                  </w:r>
                  <w:r>
                    <w:rPr>
                      <w:rFonts w:hint="default" w:ascii="Times New Roman" w:hAnsi="Times New Roman" w:eastAsia="宋体"/>
                      <w:color w:val="auto"/>
                      <w:sz w:val="21"/>
                      <w:szCs w:val="21"/>
                      <w:lang w:eastAsia="zh-CN"/>
                    </w:rPr>
                    <w:t>收集暂存后委托有资质单位处置</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危废按照《危险废物贮存污染控制标准》（GB18597-2001）及《危险废物转移联单管理办法》（国家环境保护总局令第5号）管理，危废暂存间地面做重点防渗处理，采用抗渗混凝土，混凝土强度等级不应低于C25，抗渗等级不应低于P8，厚度不宜小于250mm。</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生态</w:t>
                  </w:r>
                </w:p>
              </w:tc>
              <w:tc>
                <w:tcPr>
                  <w:tcW w:w="3327"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厂区全部硬化和</w:t>
                  </w:r>
                  <w:r>
                    <w:rPr>
                      <w:rFonts w:hint="eastAsia" w:ascii="Times New Roman" w:hAnsi="Times New Roman" w:eastAsia="宋体"/>
                      <w:color w:val="auto"/>
                      <w:sz w:val="21"/>
                      <w:szCs w:val="21"/>
                    </w:rPr>
                    <w:t>绿化</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绿化面积1000m</w:t>
                  </w:r>
                  <w:r>
                    <w:rPr>
                      <w:rFonts w:hint="eastAsia" w:ascii="Times New Roman" w:hAnsi="Times New Roman" w:eastAsia="宋体"/>
                      <w:color w:val="auto"/>
                      <w:sz w:val="21"/>
                      <w:szCs w:val="21"/>
                      <w:vertAlign w:val="superscript"/>
                      <w:lang w:val="en-US" w:eastAsia="zh-CN"/>
                    </w:rPr>
                    <w:t>2</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公用</w:t>
                  </w:r>
                  <w:r>
                    <w:rPr>
                      <w:rFonts w:hint="eastAsia" w:ascii="Times New Roman" w:hAnsi="Times New Roman" w:eastAsia="宋体"/>
                      <w:color w:val="auto"/>
                      <w:sz w:val="21"/>
                      <w:szCs w:val="21"/>
                    </w:rPr>
                    <w:t>工程</w:t>
                  </w:r>
                </w:p>
              </w:tc>
              <w:tc>
                <w:tcPr>
                  <w:tcW w:w="6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ascii="Times New Roman" w:hAnsi="Times New Roman" w:eastAsia="宋体"/>
                      <w:color w:val="auto"/>
                      <w:sz w:val="21"/>
                      <w:szCs w:val="21"/>
                    </w:rPr>
                    <w:t>供电</w:t>
                  </w:r>
                </w:p>
              </w:tc>
              <w:tc>
                <w:tcPr>
                  <w:tcW w:w="3327"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ascii="Times New Roman" w:hAnsi="Times New Roman" w:eastAsia="宋体"/>
                      <w:color w:val="auto"/>
                      <w:sz w:val="21"/>
                      <w:szCs w:val="21"/>
                    </w:rPr>
                    <w:t>由</w:t>
                  </w:r>
                  <w:r>
                    <w:rPr>
                      <w:rFonts w:hint="eastAsia" w:ascii="Times New Roman" w:hAnsi="Times New Roman" w:eastAsia="宋体"/>
                      <w:color w:val="auto"/>
                      <w:sz w:val="21"/>
                      <w:szCs w:val="21"/>
                    </w:rPr>
                    <w:t>富资垣村</w:t>
                  </w:r>
                  <w:r>
                    <w:rPr>
                      <w:rFonts w:ascii="Times New Roman" w:hAnsi="Times New Roman" w:eastAsia="宋体"/>
                      <w:color w:val="auto"/>
                      <w:sz w:val="21"/>
                      <w:szCs w:val="21"/>
                    </w:rPr>
                    <w:t>供电管网接入，1台50</w:t>
                  </w:r>
                  <w:r>
                    <w:rPr>
                      <w:rFonts w:hint="eastAsia" w:ascii="Times New Roman" w:hAnsi="Times New Roman" w:eastAsia="宋体"/>
                      <w:color w:val="auto"/>
                      <w:sz w:val="21"/>
                      <w:szCs w:val="21"/>
                    </w:rPr>
                    <w:t>0</w:t>
                  </w:r>
                  <w:r>
                    <w:rPr>
                      <w:rFonts w:ascii="Times New Roman" w:hAnsi="Times New Roman" w:eastAsia="宋体"/>
                      <w:color w:val="auto"/>
                      <w:sz w:val="21"/>
                      <w:szCs w:val="21"/>
                    </w:rPr>
                    <w:t>KVA变压器</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rPr>
                  </w:pPr>
                </w:p>
              </w:tc>
              <w:tc>
                <w:tcPr>
                  <w:tcW w:w="6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ascii="Times New Roman" w:hAnsi="Times New Roman" w:eastAsia="宋体"/>
                      <w:color w:val="auto"/>
                      <w:sz w:val="21"/>
                      <w:szCs w:val="21"/>
                    </w:rPr>
                    <w:t>供水</w:t>
                  </w:r>
                </w:p>
              </w:tc>
              <w:tc>
                <w:tcPr>
                  <w:tcW w:w="3327"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ascii="Times New Roman" w:hAnsi="Times New Roman" w:eastAsia="宋体"/>
                      <w:color w:val="auto"/>
                      <w:sz w:val="21"/>
                      <w:szCs w:val="21"/>
                    </w:rPr>
                    <w:t>由</w:t>
                  </w:r>
                  <w:r>
                    <w:rPr>
                      <w:rFonts w:hint="eastAsia" w:ascii="Times New Roman" w:hAnsi="Times New Roman" w:eastAsia="宋体"/>
                      <w:color w:val="auto"/>
                      <w:sz w:val="21"/>
                      <w:szCs w:val="21"/>
                    </w:rPr>
                    <w:t>富资垣村</w:t>
                  </w:r>
                  <w:r>
                    <w:rPr>
                      <w:rFonts w:ascii="Times New Roman" w:hAnsi="Times New Roman" w:eastAsia="宋体"/>
                      <w:color w:val="auto"/>
                      <w:sz w:val="21"/>
                      <w:szCs w:val="21"/>
                    </w:rPr>
                    <w:t>供给</w:t>
                  </w:r>
                </w:p>
              </w:tc>
              <w:tc>
                <w:tcPr>
                  <w:tcW w:w="5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eastAsia="zh-CN"/>
                    </w:rPr>
                    <w:t>新建</w:t>
                  </w:r>
                </w:p>
              </w:tc>
            </w:tr>
          </w:tbl>
          <w:p>
            <w:pPr>
              <w:widowControl/>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产品方案</w:t>
            </w:r>
          </w:p>
          <w:p>
            <w:pPr>
              <w:widowControl/>
              <w:spacing w:line="480" w:lineRule="exact"/>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本项目年修理采掘机、破碎机8部、液压支架1500架、乳化液泵、喷雾泵10部、刮板输送机、带式输送机16部、电气设备500台，矿用设备的检修周期与检修台数见表2。</w:t>
            </w:r>
          </w:p>
          <w:p>
            <w:pPr>
              <w:adjustRightInd w:val="0"/>
              <w:snapToGrid w:val="0"/>
              <w:spacing w:line="480" w:lineRule="exact"/>
              <w:jc w:val="center"/>
              <w:rPr>
                <w:rFonts w:hint="eastAsia" w:ascii="Times New Roman" w:hAnsi="Times New Roman" w:eastAsia="宋体" w:cs="Times New Roman"/>
                <w:b/>
                <w:bCs w:val="0"/>
                <w:color w:val="auto"/>
              </w:rPr>
            </w:pPr>
            <w:r>
              <w:rPr>
                <w:rFonts w:hint="eastAsia" w:ascii="Times New Roman" w:hAnsi="Times New Roman" w:eastAsia="宋体" w:cs="Times New Roman"/>
                <w:b/>
                <w:bCs w:val="0"/>
                <w:color w:val="auto"/>
              </w:rPr>
              <w:t>表</w:t>
            </w:r>
            <w:r>
              <w:rPr>
                <w:rFonts w:hint="eastAsia" w:ascii="Times New Roman" w:hAnsi="Times New Roman" w:eastAsia="宋体" w:cs="Times New Roman"/>
                <w:b/>
                <w:bCs w:val="0"/>
                <w:color w:val="auto"/>
                <w:lang w:val="en-US" w:eastAsia="zh-CN"/>
              </w:rPr>
              <w:t>4</w:t>
            </w:r>
            <w:r>
              <w:rPr>
                <w:rFonts w:hint="eastAsia" w:ascii="Times New Roman" w:hAnsi="Times New Roman" w:eastAsia="宋体" w:cs="Times New Roman"/>
                <w:b/>
                <w:bCs w:val="0"/>
                <w:color w:val="auto"/>
              </w:rPr>
              <w:t>矿用设备检修周期及台数</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2"/>
              <w:gridCol w:w="2493"/>
              <w:gridCol w:w="1871"/>
              <w:gridCol w:w="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名称</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大修周期（年）</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规模（台）</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采煤机、破碎机</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2</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8</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液压支架</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2~3</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1500</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乳化液泵、喷雾泵</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2</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10</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刮板输送机、带式输送机</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1~2</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16</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20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电气设备</w:t>
                  </w:r>
                </w:p>
              </w:tc>
              <w:tc>
                <w:tcPr>
                  <w:tcW w:w="1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2~3</w:t>
                  </w:r>
                </w:p>
              </w:tc>
              <w:tc>
                <w:tcPr>
                  <w:tcW w:w="10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500</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r>
          </w:tbl>
          <w:p>
            <w:pPr>
              <w:widowControl/>
              <w:numPr>
                <w:ilvl w:val="0"/>
                <w:numId w:val="2"/>
              </w:num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主要生产设备</w:t>
            </w:r>
          </w:p>
          <w:p>
            <w:pPr>
              <w:adjustRightInd w:val="0"/>
              <w:snapToGrid w:val="0"/>
              <w:spacing w:line="480" w:lineRule="exact"/>
              <w:jc w:val="center"/>
              <w:rPr>
                <w:rFonts w:ascii="Times New Roman" w:hAnsi="Times New Roman" w:eastAsia="宋体" w:cs="Times New Roman"/>
                <w:b/>
                <w:bCs w:val="0"/>
                <w:color w:val="auto"/>
              </w:rPr>
            </w:pPr>
            <w:r>
              <w:rPr>
                <w:rFonts w:ascii="Times New Roman" w:hAnsi="Times New Roman" w:eastAsia="宋体" w:cs="Times New Roman"/>
                <w:b/>
                <w:bCs w:val="0"/>
                <w:color w:val="auto"/>
              </w:rPr>
              <w:t>表</w:t>
            </w:r>
            <w:r>
              <w:rPr>
                <w:rFonts w:hint="eastAsia" w:ascii="Times New Roman" w:hAnsi="Times New Roman" w:eastAsia="宋体" w:cs="Times New Roman"/>
                <w:b/>
                <w:bCs w:val="0"/>
                <w:color w:val="auto"/>
                <w:lang w:val="en-US" w:eastAsia="zh-CN"/>
              </w:rPr>
              <w:t>5</w:t>
            </w:r>
            <w:r>
              <w:rPr>
                <w:rFonts w:ascii="Times New Roman" w:hAnsi="Times New Roman" w:eastAsia="宋体" w:cs="Times New Roman"/>
                <w:b/>
                <w:bCs w:val="0"/>
                <w:color w:val="auto"/>
              </w:rPr>
              <w:t>主要生产设备一览表</w:t>
            </w:r>
          </w:p>
          <w:tbl>
            <w:tblPr>
              <w:tblStyle w:val="20"/>
              <w:tblW w:w="9043" w:type="dxa"/>
              <w:tblInd w:w="0" w:type="dxa"/>
              <w:shd w:val="clear" w:color="auto" w:fill="auto"/>
              <w:tblLayout w:type="fixed"/>
              <w:tblCellMar>
                <w:top w:w="0" w:type="dxa"/>
                <w:left w:w="108" w:type="dxa"/>
                <w:bottom w:w="0" w:type="dxa"/>
                <w:right w:w="108" w:type="dxa"/>
              </w:tblCellMar>
            </w:tblPr>
            <w:tblGrid>
              <w:gridCol w:w="644"/>
              <w:gridCol w:w="1725"/>
              <w:gridCol w:w="1618"/>
              <w:gridCol w:w="1562"/>
              <w:gridCol w:w="645"/>
              <w:gridCol w:w="825"/>
              <w:gridCol w:w="2024"/>
            </w:tblGrid>
            <w:tr>
              <w:tblPrEx>
                <w:shd w:val="clear" w:color="auto" w:fill="auto"/>
              </w:tblPrEx>
              <w:trPr>
                <w:trHeight w:val="340" w:hRule="atLeast"/>
              </w:trPr>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位置</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名称</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功率</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数量</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品牌</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厂家</w:t>
                  </w:r>
                </w:p>
              </w:tc>
            </w:tr>
            <w:tr>
              <w:tblPrEx>
                <w:tblCellMar>
                  <w:top w:w="0" w:type="dxa"/>
                  <w:left w:w="108" w:type="dxa"/>
                  <w:bottom w:w="0" w:type="dxa"/>
                  <w:right w:w="108" w:type="dxa"/>
                </w:tblCellMar>
              </w:tblPrEx>
              <w:trPr>
                <w:trHeight w:val="340" w:hRule="atLeast"/>
              </w:trPr>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单体维修车间</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深孔钻镗床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TK2120(25)</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德州</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卧式车床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CW6163B-3000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安阳</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卧式车床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CW6163B-3000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沈阳</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卧式车床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CT6140A-2000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太原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卧式车床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CT6140A-1000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太原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卧式车床（改镗床）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CW620-1-3000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安阳</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立式拆装机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LCZ-500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晋中</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卧式拆装机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WCZ-400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焦作</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中频缩缸机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500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中频移动加热机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立式试验台</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ZSY80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焦作</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立式试验架</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400T</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张家口</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台式钻床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Z32</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杭州</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乳化液泵</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XRB2B80/200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乳化液箱</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XR80/64</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万能铣床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XW6123</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太原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支架组装车间</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乳化液泵</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BRW40/20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3</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乳化液箱</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XR40/64</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单体支柱试验架</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张家口</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单体支柱装配架</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自制</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四柱压力机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60T-100T</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自制</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立柱缸筒清洗机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立柱</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焦作</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支架拆解车间</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自动环焊机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晋中</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环焊机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自制</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熔覆堆焊机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珩磨机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3</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无锡</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三用阀试验台</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自制</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三用阀抛光机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自制</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锯床</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GB4028</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r>
            <w:tr>
              <w:tblPrEx>
                <w:tblCellMar>
                  <w:top w:w="0" w:type="dxa"/>
                  <w:left w:w="108" w:type="dxa"/>
                  <w:bottom w:w="0" w:type="dxa"/>
                  <w:right w:w="108" w:type="dxa"/>
                </w:tblCellMar>
              </w:tblPrEx>
              <w:trPr>
                <w:trHeight w:val="340" w:hRule="atLeast"/>
              </w:trPr>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宋体"/>
                      <w:i w:val="0"/>
                      <w:iCs w:val="0"/>
                      <w:color w:val="auto"/>
                      <w:sz w:val="18"/>
                      <w:szCs w:val="18"/>
                      <w:u w:val="none"/>
                      <w:lang w:val="en-US" w:eastAsia="zh-CN"/>
                    </w:rPr>
                  </w:pPr>
                  <w:r>
                    <w:rPr>
                      <w:rFonts w:hint="eastAsia" w:ascii="Times New Roman" w:hAnsi="Times New Roman" w:eastAsia="宋体" w:cs="宋体"/>
                      <w:i w:val="0"/>
                      <w:iCs w:val="0"/>
                      <w:color w:val="auto"/>
                      <w:sz w:val="18"/>
                      <w:szCs w:val="18"/>
                      <w:u w:val="none"/>
                      <w:lang w:val="en-US" w:eastAsia="zh-CN"/>
                    </w:rPr>
                    <w:t>立柱千金车间</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U型钢液压整形机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QYZ-52300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22KW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焦作</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焦作市金能煤矿设备有限公司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等离子切割机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CUT100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深圳</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深圳市佳士科技有限公司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电焊机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BX1-315</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上海名江电器有限公司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钢垫液压成型机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专用型号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5.5KW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交流弧焊机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BX1-630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630AMP</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上海创美电机有限公司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空气压缩机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上海超星机电有限公司</w:t>
                  </w:r>
                </w:p>
              </w:tc>
            </w:tr>
            <w:tr>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潍柴发电机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300KW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山西</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山西马拉松机电设备有限公司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钢筋切断机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GQ-50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长葛</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长葛市雨航建筑公司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滚丝机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ZA28-150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电机功率5KW-4液压电机功率2.2KW-4</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滚丝机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Z28-150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电机功率4KW液压电机功率2.2KW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滚丝机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特种专用型号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电机功率11KW液压电机功率7.5KW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滚丝机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特种专用型号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电机功率11KW液压电机功率5.5KW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锚杆缩进机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MS1-锚杆专用</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11kw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钢筋切断机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GQ-50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裕东盛建筑机械厂</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矿用钢带成型机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MS1-锚杆专用</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电机功率7.5KW液压电机功率5.5KW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邢台</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邢台市华昌机械制造有限公司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矿用三相切割机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矿用三相</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4KW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浙江金牛机械有限公司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锚杆冷轧拧花机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专用型号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3KW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锚杆冷轧压扁机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专用型号</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15KW</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w:t>
                  </w: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sz w:val="18"/>
                      <w:szCs w:val="18"/>
                      <w:u w:val="none"/>
                    </w:rPr>
                  </w:pPr>
                  <w:r>
                    <w:rPr>
                      <w:rFonts w:hint="eastAsia" w:ascii="Times New Roman" w:hAnsi="Times New Roman" w:eastAsia="宋体" w:cs="宋体"/>
                      <w:i w:val="0"/>
                      <w:iCs w:val="0"/>
                      <w:color w:val="auto"/>
                      <w:kern w:val="0"/>
                      <w:sz w:val="18"/>
                      <w:szCs w:val="18"/>
                      <w:u w:val="none"/>
                      <w:lang w:val="en-US" w:eastAsia="zh-CN" w:bidi="ar"/>
                    </w:rPr>
                    <w:t>河北金阳湾重工设备有限公司</w:t>
                  </w:r>
                </w:p>
              </w:tc>
            </w:tr>
            <w:tr>
              <w:tblPrEx>
                <w:tblCellMar>
                  <w:top w:w="0" w:type="dxa"/>
                  <w:left w:w="108" w:type="dxa"/>
                  <w:bottom w:w="0" w:type="dxa"/>
                  <w:right w:w="108" w:type="dxa"/>
                </w:tblCellMar>
              </w:tblPrEx>
              <w:trPr>
                <w:trHeight w:val="340" w:hRule="atLeast"/>
              </w:trPr>
              <w:tc>
                <w:tcPr>
                  <w:tcW w:w="644"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lang w:val="en-US" w:eastAsia="zh-CN"/>
                    </w:rPr>
                  </w:pPr>
                  <w:r>
                    <w:rPr>
                      <w:rFonts w:hint="eastAsia" w:ascii="Times New Roman" w:hAnsi="Times New Roman" w:eastAsia="宋体" w:cs="宋体"/>
                      <w:i w:val="0"/>
                      <w:iCs w:val="0"/>
                      <w:color w:val="auto"/>
                      <w:sz w:val="18"/>
                      <w:szCs w:val="18"/>
                      <w:u w:val="none"/>
                      <w:lang w:val="en-US" w:eastAsia="zh-CN"/>
                    </w:rPr>
                    <w:t>喷漆车间</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吸入式喷砂机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1000D</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1小时工作能量：5t/h</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rPr>
                <w:trHeight w:val="340" w:hRule="atLeast"/>
              </w:trPr>
              <w:tc>
                <w:tcPr>
                  <w:tcW w:w="644" w:type="dxa"/>
                  <w:vMerge w:val="continue"/>
                  <w:tcBorders>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静音空压机</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GCS100</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blPrEx>
                <w:tblCellMar>
                  <w:top w:w="0" w:type="dxa"/>
                  <w:left w:w="108" w:type="dxa"/>
                  <w:bottom w:w="0" w:type="dxa"/>
                  <w:right w:w="108" w:type="dxa"/>
                </w:tblCellMar>
              </w:tblPrEx>
              <w:trPr>
                <w:trHeight w:val="340" w:hRule="atLeast"/>
              </w:trPr>
              <w:tc>
                <w:tcPr>
                  <w:tcW w:w="644" w:type="dxa"/>
                  <w:vMerge w:val="continue"/>
                  <w:tcBorders>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储气罐</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1m3</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blPrEx>
                <w:tblCellMar>
                  <w:top w:w="0" w:type="dxa"/>
                  <w:left w:w="108" w:type="dxa"/>
                  <w:bottom w:w="0" w:type="dxa"/>
                  <w:right w:w="108" w:type="dxa"/>
                </w:tblCellMar>
              </w:tblPrEx>
              <w:trPr>
                <w:trHeight w:val="340" w:hRule="atLeast"/>
              </w:trPr>
              <w:tc>
                <w:tcPr>
                  <w:tcW w:w="644" w:type="dxa"/>
                  <w:vMerge w:val="continue"/>
                  <w:tcBorders>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喷砂机自带布袋除尘器</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除尘效率大于98%</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blPrEx>
                <w:tblCellMar>
                  <w:top w:w="0" w:type="dxa"/>
                  <w:left w:w="108" w:type="dxa"/>
                  <w:bottom w:w="0" w:type="dxa"/>
                  <w:right w:w="108" w:type="dxa"/>
                </w:tblCellMar>
              </w:tblPrEx>
              <w:trPr>
                <w:trHeight w:val="340" w:hRule="atLeast"/>
              </w:trPr>
              <w:tc>
                <w:tcPr>
                  <w:tcW w:w="644" w:type="dxa"/>
                  <w:vMerge w:val="continue"/>
                  <w:tcBorders>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高压无风喷涂设备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1小时工作能量：5t/h</w:t>
                  </w: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blPrEx>
                <w:tblCellMar>
                  <w:top w:w="0" w:type="dxa"/>
                  <w:left w:w="108" w:type="dxa"/>
                  <w:bottom w:w="0" w:type="dxa"/>
                  <w:right w:w="108" w:type="dxa"/>
                </w:tblCellMar>
              </w:tblPrEx>
              <w:trPr>
                <w:trHeight w:val="1168" w:hRule="atLeast"/>
              </w:trPr>
              <w:tc>
                <w:tcPr>
                  <w:tcW w:w="644" w:type="dxa"/>
                  <w:vMerge w:val="continue"/>
                  <w:tcBorders>
                    <w:left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喷漆房</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18"/>
                      <w:szCs w:val="18"/>
                      <w:lang w:val="en-US" w:eastAsia="zh-CN"/>
                    </w:rPr>
                  </w:pPr>
                  <w:r>
                    <w:rPr>
                      <w:rFonts w:hint="eastAsia" w:ascii="Times New Roman" w:hAnsi="Times New Roman" w:eastAsia="宋体"/>
                      <w:bCs/>
                      <w:color w:val="auto"/>
                      <w:sz w:val="18"/>
                      <w:szCs w:val="18"/>
                      <w:lang w:val="en-US" w:eastAsia="zh-CN"/>
                    </w:rPr>
                    <w:t>内径：18m×7m×4.5m；外径：18m×7.5m×4.75m</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r>
              <w:tblPrEx>
                <w:tblCellMar>
                  <w:top w:w="0" w:type="dxa"/>
                  <w:left w:w="108" w:type="dxa"/>
                  <w:bottom w:w="0" w:type="dxa"/>
                  <w:right w:w="108" w:type="dxa"/>
                </w:tblCellMar>
              </w:tblPrEx>
              <w:trPr>
                <w:trHeight w:val="227" w:hRule="atLeast"/>
              </w:trPr>
              <w:tc>
                <w:tcPr>
                  <w:tcW w:w="644"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jc w:val="center"/>
                    <w:rPr>
                      <w:rFonts w:hint="eastAsia" w:ascii="Times New Roman" w:hAnsi="Times New Roman" w:eastAsia="宋体" w:cs="宋体"/>
                      <w:i w:val="0"/>
                      <w:iCs w:val="0"/>
                      <w:color w:val="auto"/>
                      <w:sz w:val="18"/>
                      <w:szCs w:val="18"/>
                      <w:u w:val="none"/>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烘干房</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18"/>
                      <w:szCs w:val="18"/>
                      <w:lang w:val="en-US" w:eastAsia="zh-CN"/>
                    </w:rPr>
                  </w:pPr>
                  <w:r>
                    <w:rPr>
                      <w:rFonts w:hint="eastAsia" w:ascii="Times New Roman" w:hAnsi="Times New Roman" w:eastAsia="宋体"/>
                      <w:bCs/>
                      <w:color w:val="auto"/>
                      <w:sz w:val="18"/>
                      <w:szCs w:val="18"/>
                      <w:lang w:val="en-US" w:eastAsia="zh-CN"/>
                    </w:rPr>
                    <w:t>内径：18m×7m×4.5m；外径：18m×7.5m×4.75m</w:t>
                  </w:r>
                </w:p>
              </w:tc>
              <w:tc>
                <w:tcPr>
                  <w:tcW w:w="15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宋体"/>
                      <w:i w:val="0"/>
                      <w:iCs w:val="0"/>
                      <w:color w:val="auto"/>
                      <w:kern w:val="0"/>
                      <w:sz w:val="18"/>
                      <w:szCs w:val="18"/>
                      <w:u w:val="none"/>
                      <w:lang w:val="en-US" w:eastAsia="zh-CN" w:bidi="ar"/>
                    </w:rPr>
                  </w:pPr>
                  <w:r>
                    <w:rPr>
                      <w:rFonts w:hint="eastAsia" w:ascii="Times New Roman" w:hAnsi="Times New Roman" w:eastAsia="宋体" w:cs="宋体"/>
                      <w:i w:val="0"/>
                      <w:iCs w:val="0"/>
                      <w:color w:val="auto"/>
                      <w:kern w:val="0"/>
                      <w:sz w:val="18"/>
                      <w:szCs w:val="18"/>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c>
                <w:tcPr>
                  <w:tcW w:w="20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宋体"/>
                      <w:i w:val="0"/>
                      <w:iCs w:val="0"/>
                      <w:color w:val="auto"/>
                      <w:kern w:val="0"/>
                      <w:sz w:val="18"/>
                      <w:szCs w:val="18"/>
                      <w:u w:val="none"/>
                      <w:lang w:val="en-US" w:eastAsia="zh-CN" w:bidi="ar"/>
                    </w:rPr>
                  </w:pPr>
                </w:p>
              </w:tc>
            </w:tr>
          </w:tbl>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（8）原辅材料</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由于本项目产品为需要维修的矿机设备，为了防止在使用过程中设备生锈，并对维修后产品表面进行亮化，项目拟对维修产品液压支架及部分工件表面使用环保丙烯酸树脂漆进行防锈漆喷涂。</w:t>
            </w:r>
          </w:p>
          <w:p>
            <w:pPr>
              <w:keepNext w:val="0"/>
              <w:keepLines w:val="0"/>
              <w:pageBreakBefore w:val="0"/>
              <w:widowControl w:val="0"/>
              <w:kinsoku/>
              <w:wordWrap/>
              <w:overflowPunct/>
              <w:topLinePunct w:val="0"/>
              <w:autoSpaceDE w:val="0"/>
              <w:autoSpaceDN w:val="0"/>
              <w:bidi w:val="0"/>
              <w:adjustRightInd w:val="0"/>
              <w:snapToGrid w:val="0"/>
              <w:spacing w:line="500" w:lineRule="exact"/>
              <w:jc w:val="center"/>
              <w:textAlignment w:val="auto"/>
              <w:rPr>
                <w:rFonts w:hint="eastAsia" w:ascii="Times New Roman" w:hAnsi="Times New Roman" w:eastAsia="宋体" w:cs="Times New Roman"/>
                <w:b/>
                <w:color w:val="auto"/>
                <w:lang w:eastAsia="zh-CN"/>
              </w:rPr>
            </w:pPr>
            <w:r>
              <w:rPr>
                <w:rFonts w:hint="eastAsia" w:ascii="Times New Roman" w:hAnsi="Times New Roman" w:eastAsia="宋体" w:cs="Times New Roman"/>
                <w:b/>
                <w:color w:val="auto"/>
                <w:lang w:eastAsia="zh-CN"/>
              </w:rPr>
              <w:t>表</w:t>
            </w:r>
            <w:r>
              <w:rPr>
                <w:rFonts w:hint="eastAsia" w:ascii="Times New Roman" w:hAnsi="Times New Roman" w:eastAsia="宋体" w:cs="Times New Roman"/>
                <w:b/>
                <w:color w:val="auto"/>
                <w:lang w:val="en-US" w:eastAsia="zh-CN"/>
              </w:rPr>
              <w:t>6</w:t>
            </w:r>
            <w:r>
              <w:rPr>
                <w:rFonts w:hint="eastAsia" w:ascii="Times New Roman" w:hAnsi="Times New Roman" w:eastAsia="宋体" w:cs="Times New Roman"/>
                <w:b/>
                <w:color w:val="auto"/>
                <w:lang w:eastAsia="zh-CN"/>
              </w:rPr>
              <w:t>原辅材料用量情况</w:t>
            </w:r>
          </w:p>
          <w:tbl>
            <w:tblPr>
              <w:tblStyle w:val="21"/>
              <w:tblW w:w="499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2261"/>
              <w:gridCol w:w="1609"/>
              <w:gridCol w:w="1591"/>
              <w:gridCol w:w="2222"/>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序号</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原料</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用量t/a</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最大储存量（t）</w:t>
                  </w:r>
                </w:p>
              </w:tc>
              <w:tc>
                <w:tcPr>
                  <w:tcW w:w="1229"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来源</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1</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bCs/>
                      <w:color w:val="auto"/>
                      <w:sz w:val="21"/>
                      <w:szCs w:val="21"/>
                    </w:rPr>
                    <w:t>乳化液</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bCs/>
                      <w:color w:val="auto"/>
                      <w:sz w:val="21"/>
                      <w:szCs w:val="21"/>
                    </w:rPr>
                    <w:t>60</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0.5</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ascii="Times New Roman" w:hAnsi="Times New Roman" w:eastAsia="宋体"/>
                      <w:bCs/>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2</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bCs/>
                      <w:color w:val="auto"/>
                      <w:sz w:val="21"/>
                      <w:szCs w:val="21"/>
                    </w:rPr>
                    <w:t>润滑油</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bCs/>
                      <w:color w:val="auto"/>
                      <w:sz w:val="21"/>
                      <w:szCs w:val="21"/>
                    </w:rPr>
                    <w:t>20</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0.5</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ascii="Times New Roman" w:hAnsi="Times New Roman" w:eastAsia="宋体"/>
                      <w:bCs/>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3</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bCs/>
                      <w:color w:val="auto"/>
                      <w:sz w:val="21"/>
                      <w:szCs w:val="21"/>
                    </w:rPr>
                    <w:t>焊条</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lang w:eastAsia="zh-CN"/>
                    </w:rPr>
                  </w:pPr>
                  <w:r>
                    <w:rPr>
                      <w:rFonts w:hint="eastAsia" w:ascii="Times New Roman" w:hAnsi="Times New Roman" w:eastAsia="宋体"/>
                      <w:bCs/>
                      <w:color w:val="auto"/>
                      <w:sz w:val="21"/>
                      <w:szCs w:val="21"/>
                    </w:rPr>
                    <w:t>0.4</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0.1</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4</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石英砂（0.5~1.5mm）</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500</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10</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5</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heme="minorBidi"/>
                      <w:bCs/>
                      <w:color w:val="auto"/>
                      <w:kern w:val="2"/>
                      <w:sz w:val="21"/>
                      <w:szCs w:val="21"/>
                      <w:lang w:val="en-US" w:eastAsia="zh-CN" w:bidi="ar-SA"/>
                    </w:rPr>
                  </w:pPr>
                  <w:r>
                    <w:rPr>
                      <w:rFonts w:hint="eastAsia" w:ascii="Times New Roman" w:hAnsi="Times New Roman" w:eastAsia="宋体"/>
                      <w:bCs/>
                      <w:color w:val="auto"/>
                      <w:sz w:val="21"/>
                      <w:szCs w:val="21"/>
                      <w:lang w:val="en-US" w:eastAsia="zh-CN"/>
                    </w:rPr>
                    <w:t>丙烯酸树脂油漆</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heme="minorBidi"/>
                      <w:bCs/>
                      <w:color w:val="auto"/>
                      <w:kern w:val="2"/>
                      <w:sz w:val="21"/>
                      <w:szCs w:val="21"/>
                      <w:lang w:val="en-US" w:eastAsia="zh-CN" w:bidi="ar-SA"/>
                    </w:rPr>
                  </w:pPr>
                  <w:r>
                    <w:rPr>
                      <w:rFonts w:hint="eastAsia" w:ascii="Times New Roman" w:hAnsi="Times New Roman" w:eastAsia="宋体" w:cstheme="minorBidi"/>
                      <w:bCs/>
                      <w:color w:val="auto"/>
                      <w:kern w:val="2"/>
                      <w:sz w:val="21"/>
                      <w:szCs w:val="21"/>
                      <w:lang w:val="en-US" w:eastAsia="zh-CN" w:bidi="ar-SA"/>
                    </w:rPr>
                    <w:t>5.86</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0.2</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bCs/>
                      <w:color w:val="auto"/>
                      <w:kern w:val="2"/>
                      <w:sz w:val="21"/>
                      <w:szCs w:val="21"/>
                      <w:lang w:val="en-US" w:eastAsia="zh-CN" w:bidi="ar-SA"/>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固化剂</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2.88</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0.1</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z w:val="21"/>
                      <w:szCs w:val="21"/>
                    </w:rPr>
                  </w:pP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稀释剂</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0.56</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0.1</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rPr>
                  </w:pPr>
                  <w:r>
                    <w:rPr>
                      <w:rFonts w:hint="eastAsia" w:ascii="Times New Roman" w:hAnsi="Times New Roman" w:eastAsia="宋体"/>
                      <w:color w:val="auto"/>
                      <w:sz w:val="21"/>
                      <w:szCs w:val="21"/>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6</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棉纱</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0.5</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0.1</w:t>
                  </w: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Cs/>
                      <w:color w:val="auto"/>
                      <w:sz w:val="21"/>
                      <w:szCs w:val="21"/>
                      <w:lang w:val="en-US" w:eastAsia="zh-CN"/>
                    </w:rPr>
                  </w:pPr>
                  <w:r>
                    <w:rPr>
                      <w:rFonts w:hint="eastAsia" w:ascii="Times New Roman" w:hAnsi="Times New Roman" w:eastAsia="宋体"/>
                      <w:bCs/>
                      <w:color w:val="auto"/>
                      <w:sz w:val="21"/>
                      <w:szCs w:val="21"/>
                      <w:lang w:val="en-US" w:eastAsia="zh-CN"/>
                    </w:rPr>
                    <w:t>当地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7"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 w:val="21"/>
                      <w:szCs w:val="21"/>
                      <w:lang w:val="en-US" w:eastAsia="zh-CN"/>
                    </w:rPr>
                    <w:t>7</w:t>
                  </w:r>
                </w:p>
              </w:tc>
              <w:tc>
                <w:tcPr>
                  <w:tcW w:w="125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bCs/>
                      <w:color w:val="auto"/>
                      <w:kern w:val="2"/>
                      <w:sz w:val="21"/>
                      <w:szCs w:val="21"/>
                      <w:lang w:val="en-US" w:eastAsia="zh-CN" w:bidi="ar-SA"/>
                    </w:rPr>
                  </w:pPr>
                  <w:r>
                    <w:rPr>
                      <w:rFonts w:hint="eastAsia" w:ascii="Times New Roman" w:hAnsi="Times New Roman" w:eastAsia="宋体"/>
                      <w:bCs/>
                      <w:color w:val="auto"/>
                      <w:sz w:val="21"/>
                      <w:szCs w:val="21"/>
                    </w:rPr>
                    <w:t>相配套的标准备件</w:t>
                  </w:r>
                </w:p>
              </w:tc>
              <w:tc>
                <w:tcPr>
                  <w:tcW w:w="89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bCs/>
                      <w:color w:val="auto"/>
                      <w:kern w:val="2"/>
                      <w:sz w:val="21"/>
                      <w:szCs w:val="21"/>
                      <w:lang w:val="en-US" w:eastAsia="zh-CN" w:bidi="ar-SA"/>
                    </w:rPr>
                  </w:pPr>
                  <w:r>
                    <w:rPr>
                      <w:rFonts w:hint="eastAsia" w:ascii="Times New Roman" w:hAnsi="Times New Roman" w:eastAsia="宋体"/>
                      <w:bCs/>
                      <w:color w:val="auto"/>
                      <w:sz w:val="21"/>
                      <w:szCs w:val="21"/>
                    </w:rPr>
                    <w:t>/</w:t>
                  </w:r>
                </w:p>
              </w:tc>
              <w:tc>
                <w:tcPr>
                  <w:tcW w:w="880"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bCs/>
                      <w:color w:val="auto"/>
                      <w:kern w:val="2"/>
                      <w:sz w:val="21"/>
                      <w:szCs w:val="21"/>
                      <w:lang w:val="en-US" w:eastAsia="zh-CN" w:bidi="ar-SA"/>
                    </w:rPr>
                  </w:pPr>
                </w:p>
              </w:tc>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heme="minorBidi"/>
                      <w:bCs/>
                      <w:color w:val="auto"/>
                      <w:kern w:val="2"/>
                      <w:sz w:val="21"/>
                      <w:szCs w:val="21"/>
                      <w:lang w:val="en-US" w:eastAsia="zh-CN" w:bidi="ar-SA"/>
                    </w:rPr>
                  </w:pPr>
                  <w:r>
                    <w:rPr>
                      <w:rFonts w:hint="eastAsia" w:ascii="Times New Roman" w:hAnsi="Times New Roman" w:eastAsia="宋体"/>
                      <w:bCs/>
                      <w:color w:val="auto"/>
                      <w:sz w:val="21"/>
                      <w:szCs w:val="21"/>
                    </w:rPr>
                    <w:t>专业产品制造厂供应</w:t>
                  </w:r>
                </w:p>
              </w:tc>
            </w:tr>
          </w:tbl>
          <w:p>
            <w:pPr>
              <w:keepNext w:val="0"/>
              <w:keepLines w:val="0"/>
              <w:pageBreakBefore w:val="0"/>
              <w:widowControl w:val="0"/>
              <w:kinsoku/>
              <w:wordWrap/>
              <w:overflowPunct/>
              <w:topLinePunct w:val="0"/>
              <w:autoSpaceDE w:val="0"/>
              <w:autoSpaceDN w:val="0"/>
              <w:bidi w:val="0"/>
              <w:adjustRightInd w:val="0"/>
              <w:snapToGrid w:val="0"/>
              <w:spacing w:line="500" w:lineRule="exact"/>
              <w:jc w:val="center"/>
              <w:textAlignment w:val="auto"/>
              <w:rPr>
                <w:rFonts w:hint="default" w:ascii="Times New Roman" w:hAnsi="Times New Roman" w:eastAsia="宋体" w:cs="Times New Roman"/>
                <w:b/>
                <w:color w:val="auto"/>
                <w:lang w:eastAsia="zh-CN"/>
              </w:rPr>
            </w:pPr>
            <w:r>
              <w:rPr>
                <w:rFonts w:hint="eastAsia" w:ascii="Times New Roman" w:hAnsi="Times New Roman" w:eastAsia="宋体" w:cs="Times New Roman"/>
                <w:b/>
                <w:color w:val="auto"/>
                <w:lang w:val="en-US" w:eastAsia="zh-CN"/>
              </w:rPr>
              <w:t>表7油漆、稀释剂、固化剂主要成分及含量一览表</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1129"/>
              <w:gridCol w:w="1443"/>
              <w:gridCol w:w="1872"/>
              <w:gridCol w:w="1030"/>
              <w:gridCol w:w="2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用量</w:t>
                  </w:r>
                </w:p>
              </w:tc>
              <w:tc>
                <w:tcPr>
                  <w:tcW w:w="625"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涂料、溶剂</w:t>
                  </w:r>
                </w:p>
              </w:tc>
              <w:tc>
                <w:tcPr>
                  <w:tcW w:w="1835" w:type="pct"/>
                  <w:gridSpan w:val="2"/>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主要成分</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含量（%）</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9.3t/a</w:t>
                  </w:r>
                </w:p>
              </w:tc>
              <w:tc>
                <w:tcPr>
                  <w:tcW w:w="62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丙烯酸树脂油漆（63%）</w:t>
                  </w:r>
                </w:p>
              </w:tc>
              <w:tc>
                <w:tcPr>
                  <w:tcW w:w="7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固体分（84%）</w:t>
                  </w: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丙烯酸树脂油类</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40</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2.344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颜料类</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39</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2.285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助剂</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挥发分（16%）</w:t>
                  </w: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二甲苯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6</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醋酸丁脂</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丙二醇甲醚乙酸酯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固化剂（31%）</w:t>
                  </w:r>
                </w:p>
              </w:tc>
              <w:tc>
                <w:tcPr>
                  <w:tcW w:w="799"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固体分（70%）</w:t>
                  </w: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己二异氰酸酯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70</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挥发分（30%）</w:t>
                  </w: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醋酸丁酯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30</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稀释剂（6%）</w:t>
                  </w:r>
                </w:p>
              </w:tc>
              <w:tc>
                <w:tcPr>
                  <w:tcW w:w="7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挥发分（100%）</w:t>
                  </w: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甲苯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10</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二甲苯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15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醋酸丁酯</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25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62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7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p>
              </w:tc>
              <w:tc>
                <w:tcPr>
                  <w:tcW w:w="1036" w:type="pc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其他</w:t>
                  </w:r>
                </w:p>
              </w:tc>
              <w:tc>
                <w:tcPr>
                  <w:tcW w:w="56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50</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合计</w:t>
                  </w:r>
                </w:p>
              </w:tc>
              <w:tc>
                <w:tcPr>
                  <w:tcW w:w="3030" w:type="pct"/>
                  <w:gridSpan w:val="4"/>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挥发分物质含量25%；固体份含量75%</w:t>
                  </w:r>
                </w:p>
              </w:tc>
              <w:tc>
                <w:tcPr>
                  <w:tcW w:w="1630" w:type="pct"/>
                  <w:vAlign w:val="center"/>
                </w:tcPr>
                <w:p>
                  <w:pPr>
                    <w:pStyle w:val="4"/>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val="0"/>
                      <w:bCs/>
                      <w:color w:val="auto"/>
                      <w:sz w:val="21"/>
                      <w:szCs w:val="21"/>
                      <w:vertAlign w:val="baseline"/>
                    </w:rPr>
                  </w:pPr>
                  <w:r>
                    <w:rPr>
                      <w:rFonts w:hint="eastAsia" w:ascii="Times New Roman" w:hAnsi="Times New Roman" w:eastAsia="宋体" w:cs="Times New Roman"/>
                      <w:b w:val="0"/>
                      <w:bCs/>
                      <w:color w:val="auto"/>
                      <w:sz w:val="21"/>
                      <w:szCs w:val="21"/>
                      <w:vertAlign w:val="baseline"/>
                      <w:lang w:val="en-US" w:eastAsia="zh-CN"/>
                    </w:rPr>
                    <w:t>固体份含量6.975t；挥发分物质含量2.025（其他甲苯0.056t/a，二甲苯0.084t/a）</w:t>
                  </w:r>
                </w:p>
              </w:tc>
            </w:tr>
          </w:tbl>
          <w:p>
            <w:pPr>
              <w:keepNext w:val="0"/>
              <w:keepLines w:val="0"/>
              <w:pageBreakBefore w:val="0"/>
              <w:widowControl w:val="0"/>
              <w:kinsoku/>
              <w:wordWrap/>
              <w:overflowPunct/>
              <w:topLinePunct w:val="0"/>
              <w:autoSpaceDE w:val="0"/>
              <w:autoSpaceDN w:val="0"/>
              <w:bidi w:val="0"/>
              <w:adjustRightInd w:val="0"/>
              <w:snapToGrid w:val="0"/>
              <w:spacing w:line="500" w:lineRule="exact"/>
              <w:jc w:val="center"/>
              <w:textAlignment w:val="auto"/>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eastAsia="zh-CN"/>
              </w:rPr>
              <w:t>表</w:t>
            </w:r>
            <w:r>
              <w:rPr>
                <w:rFonts w:hint="eastAsia" w:ascii="Times New Roman" w:hAnsi="Times New Roman" w:eastAsia="宋体" w:cs="Times New Roman"/>
                <w:b/>
                <w:color w:val="auto"/>
                <w:lang w:val="en-US" w:eastAsia="zh-CN"/>
              </w:rPr>
              <w:t>8</w:t>
            </w:r>
            <w:r>
              <w:rPr>
                <w:rFonts w:hint="default" w:ascii="Times New Roman" w:hAnsi="Times New Roman" w:eastAsia="宋体" w:cs="Times New Roman"/>
                <w:b/>
                <w:color w:val="auto"/>
                <w:lang w:val="en-US" w:eastAsia="zh-CN"/>
              </w:rPr>
              <w:t>漆料主要成分及性质一览表</w:t>
            </w:r>
          </w:p>
          <w:tbl>
            <w:tblPr>
              <w:tblStyle w:val="20"/>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7"/>
              <w:gridCol w:w="631"/>
              <w:gridCol w:w="835"/>
              <w:gridCol w:w="4548"/>
              <w:gridCol w:w="23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53" w:type="pct"/>
                  <w:noWrap w:val="0"/>
                  <w:vAlign w:val="center"/>
                </w:tcPr>
                <w:p>
                  <w:pPr>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8"/>
                    </w:rPr>
                    <w:t>序号</w:t>
                  </w:r>
                </w:p>
              </w:tc>
              <w:tc>
                <w:tcPr>
                  <w:tcW w:w="813" w:type="pct"/>
                  <w:gridSpan w:val="2"/>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szCs w:val="28"/>
                      <w:lang w:eastAsia="zh-CN"/>
                    </w:rPr>
                    <w:t>组分</w:t>
                  </w:r>
                </w:p>
              </w:tc>
              <w:tc>
                <w:tcPr>
                  <w:tcW w:w="2524" w:type="pct"/>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szCs w:val="28"/>
                      <w:lang w:eastAsia="zh-CN"/>
                    </w:rPr>
                    <w:t>理化性质</w:t>
                  </w:r>
                </w:p>
              </w:tc>
              <w:tc>
                <w:tcPr>
                  <w:tcW w:w="1308" w:type="pct"/>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szCs w:val="28"/>
                      <w:lang w:eastAsia="zh-CN"/>
                    </w:rPr>
                    <w:t>毒性和危害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3" w:type="pct"/>
                  <w:noWrap w:val="0"/>
                  <w:vAlign w:val="center"/>
                </w:tcPr>
                <w:p>
                  <w:pPr>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8"/>
                    </w:rPr>
                    <w:t>1</w:t>
                  </w:r>
                </w:p>
              </w:tc>
              <w:tc>
                <w:tcPr>
                  <w:tcW w:w="350" w:type="pct"/>
                  <w:vMerge w:val="restart"/>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szCs w:val="28"/>
                      <w:lang w:eastAsia="zh-CN"/>
                    </w:rPr>
                    <w:t>固化剂</w:t>
                  </w:r>
                </w:p>
              </w:tc>
              <w:tc>
                <w:tcPr>
                  <w:tcW w:w="463" w:type="pct"/>
                  <w:noWrap w:val="0"/>
                  <w:vAlign w:val="center"/>
                </w:tcPr>
                <w:p>
                  <w:pPr>
                    <w:jc w:val="center"/>
                    <w:rPr>
                      <w:rFonts w:hint="default" w:ascii="Times New Roman" w:hAnsi="Times New Roman" w:eastAsia="宋体" w:cs="Times New Roman"/>
                      <w:color w:val="auto"/>
                      <w:szCs w:val="28"/>
                      <w:lang w:eastAsia="zh-CN"/>
                    </w:rPr>
                  </w:pPr>
                  <w:r>
                    <w:rPr>
                      <w:rFonts w:hint="eastAsia" w:ascii="Times New Roman" w:hAnsi="Times New Roman" w:eastAsia="宋体"/>
                      <w:b w:val="0"/>
                      <w:bCs/>
                      <w:color w:val="auto"/>
                      <w:sz w:val="21"/>
                      <w:szCs w:val="21"/>
                      <w:lang w:val="en-US" w:eastAsia="zh-CN"/>
                    </w:rPr>
                    <w:t>己二异氰酸酯</w:t>
                  </w:r>
                </w:p>
              </w:tc>
              <w:tc>
                <w:tcPr>
                  <w:tcW w:w="2524" w:type="pct"/>
                  <w:noWrap w:val="0"/>
                  <w:vAlign w:val="center"/>
                </w:tcPr>
                <w:p>
                  <w:pPr>
                    <w:jc w:val="center"/>
                    <w:rPr>
                      <w:rFonts w:hint="default" w:ascii="Times New Roman" w:hAnsi="Times New Roman" w:eastAsia="宋体" w:cs="Arial"/>
                      <w:i w:val="0"/>
                      <w:iCs w:val="0"/>
                      <w:caps w:val="0"/>
                      <w:color w:val="auto"/>
                      <w:spacing w:val="0"/>
                      <w:sz w:val="21"/>
                      <w:szCs w:val="21"/>
                      <w:shd w:val="clear" w:fill="FFFFFF"/>
                      <w:lang w:eastAsia="zh-CN"/>
                    </w:rPr>
                  </w:pPr>
                  <w:r>
                    <w:rPr>
                      <w:rFonts w:hint="eastAsia" w:ascii="Times New Roman" w:hAnsi="Times New Roman" w:eastAsia="宋体" w:cs="Arial"/>
                      <w:i w:val="0"/>
                      <w:iCs w:val="0"/>
                      <w:caps w:val="0"/>
                      <w:color w:val="auto"/>
                      <w:spacing w:val="0"/>
                      <w:sz w:val="21"/>
                      <w:szCs w:val="21"/>
                      <w:shd w:val="clear" w:fill="FFFFFF"/>
                    </w:rPr>
                    <w:t>室温下为无色至浅黄色液体，有刺激性气味，不溶于水，溶于</w:t>
                  </w:r>
                  <w:r>
                    <w:rPr>
                      <w:rFonts w:hint="default" w:ascii="Times New Roman" w:hAnsi="Times New Roman" w:eastAsia="宋体" w:cs="Arial"/>
                      <w:i w:val="0"/>
                      <w:iCs w:val="0"/>
                      <w:caps w:val="0"/>
                      <w:color w:val="auto"/>
                      <w:spacing w:val="0"/>
                      <w:sz w:val="21"/>
                      <w:szCs w:val="21"/>
                      <w:shd w:val="clear" w:fill="FFFFFF"/>
                    </w:rPr>
                    <w:fldChar w:fldCharType="begin"/>
                  </w:r>
                  <w:r>
                    <w:rPr>
                      <w:rFonts w:hint="default" w:ascii="Times New Roman" w:hAnsi="Times New Roman" w:eastAsia="宋体" w:cs="Arial"/>
                      <w:i w:val="0"/>
                      <w:iCs w:val="0"/>
                      <w:caps w:val="0"/>
                      <w:color w:val="auto"/>
                      <w:spacing w:val="0"/>
                      <w:sz w:val="21"/>
                      <w:szCs w:val="21"/>
                      <w:shd w:val="clear" w:fill="FFFFFF"/>
                    </w:rPr>
                    <w:instrText xml:space="preserve"> HYPERLINK "https://baike.baidu.com/item/%E4%B8%99%E9%85%AE/955883" \t "https://baike.baidu.com/item/_blank" </w:instrText>
                  </w:r>
                  <w:r>
                    <w:rPr>
                      <w:rFonts w:hint="default" w:ascii="Times New Roman" w:hAnsi="Times New Roman" w:eastAsia="宋体" w:cs="Arial"/>
                      <w:i w:val="0"/>
                      <w:iCs w:val="0"/>
                      <w:caps w:val="0"/>
                      <w:color w:val="auto"/>
                      <w:spacing w:val="0"/>
                      <w:sz w:val="21"/>
                      <w:szCs w:val="21"/>
                      <w:shd w:val="clear" w:fill="FFFFFF"/>
                    </w:rPr>
                    <w:fldChar w:fldCharType="separate"/>
                  </w:r>
                  <w:r>
                    <w:rPr>
                      <w:rFonts w:hint="default" w:ascii="Times New Roman" w:hAnsi="Times New Roman" w:eastAsia="宋体" w:cs="Arial"/>
                      <w:i w:val="0"/>
                      <w:iCs w:val="0"/>
                      <w:caps w:val="0"/>
                      <w:color w:val="auto"/>
                      <w:spacing w:val="0"/>
                      <w:sz w:val="21"/>
                      <w:szCs w:val="21"/>
                      <w:shd w:val="clear" w:fill="FFFFFF"/>
                    </w:rPr>
                    <w:t>丙酮</w:t>
                  </w:r>
                  <w:r>
                    <w:rPr>
                      <w:rFonts w:hint="default" w:ascii="Times New Roman" w:hAnsi="Times New Roman" w:eastAsia="宋体" w:cs="Arial"/>
                      <w:i w:val="0"/>
                      <w:iCs w:val="0"/>
                      <w:caps w:val="0"/>
                      <w:color w:val="auto"/>
                      <w:spacing w:val="0"/>
                      <w:sz w:val="21"/>
                      <w:szCs w:val="21"/>
                      <w:shd w:val="clear" w:fill="FFFFFF"/>
                    </w:rPr>
                    <w:fldChar w:fldCharType="end"/>
                  </w:r>
                  <w:r>
                    <w:rPr>
                      <w:rFonts w:hint="default" w:ascii="Times New Roman" w:hAnsi="Times New Roman" w:eastAsia="宋体" w:cs="Arial"/>
                      <w:i w:val="0"/>
                      <w:iCs w:val="0"/>
                      <w:caps w:val="0"/>
                      <w:color w:val="auto"/>
                      <w:spacing w:val="0"/>
                      <w:sz w:val="21"/>
                      <w:szCs w:val="21"/>
                      <w:shd w:val="clear" w:fill="FFFFFF"/>
                    </w:rPr>
                    <w:t>等有机溶剂。对湿气敏感，与含</w:t>
                  </w:r>
                  <w:r>
                    <w:rPr>
                      <w:rFonts w:hint="default" w:ascii="Times New Roman" w:hAnsi="Times New Roman" w:eastAsia="宋体" w:cs="Arial"/>
                      <w:i w:val="0"/>
                      <w:iCs w:val="0"/>
                      <w:caps w:val="0"/>
                      <w:color w:val="auto"/>
                      <w:spacing w:val="0"/>
                      <w:sz w:val="21"/>
                      <w:szCs w:val="21"/>
                      <w:shd w:val="clear" w:fill="FFFFFF"/>
                    </w:rPr>
                    <w:fldChar w:fldCharType="begin"/>
                  </w:r>
                  <w:r>
                    <w:rPr>
                      <w:rFonts w:hint="default" w:ascii="Times New Roman" w:hAnsi="Times New Roman" w:eastAsia="宋体" w:cs="Arial"/>
                      <w:i w:val="0"/>
                      <w:iCs w:val="0"/>
                      <w:caps w:val="0"/>
                      <w:color w:val="auto"/>
                      <w:spacing w:val="0"/>
                      <w:sz w:val="21"/>
                      <w:szCs w:val="21"/>
                      <w:shd w:val="clear" w:fill="FFFFFF"/>
                    </w:rPr>
                    <w:instrText xml:space="preserve"> HYPERLINK "https://baike.baidu.com/item/%E6%B4%BB%E6%80%A7%E6%B0%A2/6341224" \t "https://baike.baidu.com/item/_blank" </w:instrText>
                  </w:r>
                  <w:r>
                    <w:rPr>
                      <w:rFonts w:hint="default" w:ascii="Times New Roman" w:hAnsi="Times New Roman" w:eastAsia="宋体" w:cs="Arial"/>
                      <w:i w:val="0"/>
                      <w:iCs w:val="0"/>
                      <w:caps w:val="0"/>
                      <w:color w:val="auto"/>
                      <w:spacing w:val="0"/>
                      <w:sz w:val="21"/>
                      <w:szCs w:val="21"/>
                      <w:shd w:val="clear" w:fill="FFFFFF"/>
                    </w:rPr>
                    <w:fldChar w:fldCharType="separate"/>
                  </w:r>
                  <w:r>
                    <w:rPr>
                      <w:rFonts w:hint="default" w:ascii="Times New Roman" w:hAnsi="Times New Roman" w:eastAsia="宋体" w:cs="Arial"/>
                      <w:i w:val="0"/>
                      <w:iCs w:val="0"/>
                      <w:caps w:val="0"/>
                      <w:color w:val="auto"/>
                      <w:spacing w:val="0"/>
                      <w:sz w:val="21"/>
                      <w:szCs w:val="21"/>
                      <w:shd w:val="clear" w:fill="FFFFFF"/>
                    </w:rPr>
                    <w:t>活性氢</w:t>
                  </w:r>
                  <w:r>
                    <w:rPr>
                      <w:rFonts w:hint="default" w:ascii="Times New Roman" w:hAnsi="Times New Roman" w:eastAsia="宋体" w:cs="Arial"/>
                      <w:i w:val="0"/>
                      <w:iCs w:val="0"/>
                      <w:caps w:val="0"/>
                      <w:color w:val="auto"/>
                      <w:spacing w:val="0"/>
                      <w:sz w:val="21"/>
                      <w:szCs w:val="21"/>
                      <w:shd w:val="clear" w:fill="FFFFFF"/>
                    </w:rPr>
                    <w:fldChar w:fldCharType="end"/>
                  </w:r>
                  <w:r>
                    <w:rPr>
                      <w:rFonts w:hint="default" w:ascii="Times New Roman" w:hAnsi="Times New Roman" w:eastAsia="宋体" w:cs="Arial"/>
                      <w:i w:val="0"/>
                      <w:iCs w:val="0"/>
                      <w:caps w:val="0"/>
                      <w:color w:val="auto"/>
                      <w:spacing w:val="0"/>
                      <w:sz w:val="21"/>
                      <w:szCs w:val="21"/>
                      <w:shd w:val="clear" w:fill="FFFFFF"/>
                    </w:rPr>
                    <w:t>的化合物起反应。在温度低于25℃可能会结晶</w:t>
                  </w:r>
                  <w:r>
                    <w:rPr>
                      <w:rFonts w:hint="default" w:ascii="Times New Roman" w:hAnsi="Times New Roman" w:eastAsia="宋体" w:cs="Arial"/>
                      <w:i w:val="0"/>
                      <w:iCs w:val="0"/>
                      <w:caps w:val="0"/>
                      <w:color w:val="auto"/>
                      <w:spacing w:val="0"/>
                      <w:sz w:val="21"/>
                      <w:szCs w:val="21"/>
                      <w:shd w:val="clear" w:fill="FFFFFF"/>
                      <w:lang w:eastAsia="zh-CN"/>
                    </w:rPr>
                    <w:t>。</w:t>
                  </w:r>
                </w:p>
              </w:tc>
              <w:tc>
                <w:tcPr>
                  <w:tcW w:w="1308" w:type="pct"/>
                  <w:noWrap w:val="0"/>
                  <w:vAlign w:val="center"/>
                </w:tcPr>
                <w:p>
                  <w:pPr>
                    <w:jc w:val="center"/>
                    <w:rPr>
                      <w:rFonts w:hint="default" w:ascii="Times New Roman" w:hAnsi="Times New Roman" w:eastAsia="宋体" w:cs="Arial"/>
                      <w:i w:val="0"/>
                      <w:iCs w:val="0"/>
                      <w:caps w:val="0"/>
                      <w:color w:val="auto"/>
                      <w:spacing w:val="0"/>
                      <w:sz w:val="21"/>
                      <w:szCs w:val="21"/>
                      <w:shd w:val="clear" w:fill="FFFFFF"/>
                      <w:lang w:eastAsia="zh-CN"/>
                    </w:rPr>
                  </w:pPr>
                  <w:r>
                    <w:rPr>
                      <w:rFonts w:hint="eastAsia" w:ascii="Times New Roman" w:hAnsi="Times New Roman" w:eastAsia="宋体" w:cs="Arial"/>
                      <w:i w:val="0"/>
                      <w:iCs w:val="0"/>
                      <w:caps w:val="0"/>
                      <w:color w:val="auto"/>
                      <w:spacing w:val="0"/>
                      <w:sz w:val="21"/>
                      <w:szCs w:val="21"/>
                      <w:shd w:val="clear" w:fill="FFFFFF"/>
                    </w:rPr>
                    <w:fldChar w:fldCharType="begin"/>
                  </w:r>
                  <w:r>
                    <w:rPr>
                      <w:rFonts w:hint="eastAsia" w:ascii="Times New Roman" w:hAnsi="Times New Roman" w:eastAsia="宋体" w:cs="Arial"/>
                      <w:i w:val="0"/>
                      <w:iCs w:val="0"/>
                      <w:caps w:val="0"/>
                      <w:color w:val="auto"/>
                      <w:spacing w:val="0"/>
                      <w:sz w:val="21"/>
                      <w:szCs w:val="21"/>
                      <w:shd w:val="clear" w:fill="FFFFFF"/>
                    </w:rPr>
                    <w:instrText xml:space="preserve"> HYPERLINK "https://baike.baidu.com/item/%E4%BA%8C%E5%BC%82%E6%B0%B0%E9%85%B8%E9%85%AF/8600030" \t "https://baike.baidu.com/item/_blank" </w:instrText>
                  </w:r>
                  <w:r>
                    <w:rPr>
                      <w:rFonts w:hint="eastAsia" w:ascii="Times New Roman" w:hAnsi="Times New Roman" w:eastAsia="宋体" w:cs="Arial"/>
                      <w:i w:val="0"/>
                      <w:iCs w:val="0"/>
                      <w:caps w:val="0"/>
                      <w:color w:val="auto"/>
                      <w:spacing w:val="0"/>
                      <w:sz w:val="21"/>
                      <w:szCs w:val="21"/>
                      <w:shd w:val="clear" w:fill="FFFFFF"/>
                    </w:rPr>
                    <w:fldChar w:fldCharType="separate"/>
                  </w:r>
                  <w:r>
                    <w:rPr>
                      <w:rFonts w:hint="default" w:ascii="Times New Roman" w:hAnsi="Times New Roman" w:eastAsia="宋体" w:cs="Arial"/>
                      <w:i w:val="0"/>
                      <w:iCs w:val="0"/>
                      <w:caps w:val="0"/>
                      <w:color w:val="auto"/>
                      <w:spacing w:val="0"/>
                      <w:sz w:val="21"/>
                      <w:szCs w:val="21"/>
                      <w:shd w:val="clear" w:fill="FFFFFF"/>
                    </w:rPr>
                    <w:t>二异氰酸酯</w:t>
                  </w:r>
                  <w:r>
                    <w:rPr>
                      <w:rFonts w:hint="default" w:ascii="Times New Roman" w:hAnsi="Times New Roman" w:eastAsia="宋体" w:cs="Arial"/>
                      <w:i w:val="0"/>
                      <w:iCs w:val="0"/>
                      <w:caps w:val="0"/>
                      <w:color w:val="auto"/>
                      <w:spacing w:val="0"/>
                      <w:sz w:val="21"/>
                      <w:szCs w:val="21"/>
                      <w:shd w:val="clear" w:fill="FFFFFF"/>
                    </w:rPr>
                    <w:fldChar w:fldCharType="end"/>
                  </w:r>
                  <w:r>
                    <w:rPr>
                      <w:rFonts w:hint="default" w:ascii="Times New Roman" w:hAnsi="Times New Roman" w:eastAsia="宋体" w:cs="Arial"/>
                      <w:i w:val="0"/>
                      <w:iCs w:val="0"/>
                      <w:caps w:val="0"/>
                      <w:color w:val="auto"/>
                      <w:spacing w:val="0"/>
                      <w:sz w:val="21"/>
                      <w:szCs w:val="21"/>
                      <w:shd w:val="clear" w:fill="FFFFFF"/>
                    </w:rPr>
                    <w:fldChar w:fldCharType="begin"/>
                  </w:r>
                  <w:r>
                    <w:rPr>
                      <w:rFonts w:hint="default" w:ascii="Times New Roman" w:hAnsi="Times New Roman" w:eastAsia="宋体" w:cs="Arial"/>
                      <w:i w:val="0"/>
                      <w:iCs w:val="0"/>
                      <w:caps w:val="0"/>
                      <w:color w:val="auto"/>
                      <w:spacing w:val="0"/>
                      <w:sz w:val="21"/>
                      <w:szCs w:val="21"/>
                      <w:shd w:val="clear" w:fill="FFFFFF"/>
                    </w:rPr>
                    <w:instrText xml:space="preserve"> HYPERLINK "https://baike.baidu.com/item/%E8%92%B8%E6%B0%94%E5%8E%8B/6491145" \t "https://baike.baidu.com/item/_blank" </w:instrText>
                  </w:r>
                  <w:r>
                    <w:rPr>
                      <w:rFonts w:hint="default" w:ascii="Times New Roman" w:hAnsi="Times New Roman" w:eastAsia="宋体" w:cs="Arial"/>
                      <w:i w:val="0"/>
                      <w:iCs w:val="0"/>
                      <w:caps w:val="0"/>
                      <w:color w:val="auto"/>
                      <w:spacing w:val="0"/>
                      <w:sz w:val="21"/>
                      <w:szCs w:val="21"/>
                      <w:shd w:val="clear" w:fill="FFFFFF"/>
                    </w:rPr>
                    <w:fldChar w:fldCharType="separate"/>
                  </w:r>
                  <w:r>
                    <w:rPr>
                      <w:rFonts w:hint="default" w:ascii="Times New Roman" w:hAnsi="Times New Roman" w:eastAsia="宋体" w:cs="Arial"/>
                      <w:i w:val="0"/>
                      <w:iCs w:val="0"/>
                      <w:caps w:val="0"/>
                      <w:color w:val="auto"/>
                      <w:spacing w:val="0"/>
                      <w:sz w:val="21"/>
                      <w:szCs w:val="21"/>
                      <w:shd w:val="clear" w:fill="FFFFFF"/>
                    </w:rPr>
                    <w:t>蒸气压</w:t>
                  </w:r>
                  <w:r>
                    <w:rPr>
                      <w:rFonts w:hint="default" w:ascii="Times New Roman" w:hAnsi="Times New Roman" w:eastAsia="宋体" w:cs="Arial"/>
                      <w:i w:val="0"/>
                      <w:iCs w:val="0"/>
                      <w:caps w:val="0"/>
                      <w:color w:val="auto"/>
                      <w:spacing w:val="0"/>
                      <w:sz w:val="21"/>
                      <w:szCs w:val="21"/>
                      <w:shd w:val="clear" w:fill="FFFFFF"/>
                    </w:rPr>
                    <w:fldChar w:fldCharType="end"/>
                  </w:r>
                  <w:r>
                    <w:rPr>
                      <w:rFonts w:hint="default" w:ascii="Times New Roman" w:hAnsi="Times New Roman" w:eastAsia="宋体" w:cs="Arial"/>
                      <w:i w:val="0"/>
                      <w:iCs w:val="0"/>
                      <w:caps w:val="0"/>
                      <w:color w:val="auto"/>
                      <w:spacing w:val="0"/>
                      <w:sz w:val="21"/>
                      <w:szCs w:val="21"/>
                      <w:shd w:val="clear" w:fill="FFFFFF"/>
                    </w:rPr>
                    <w:t>较</w:t>
                  </w:r>
                  <w:r>
                    <w:rPr>
                      <w:rFonts w:hint="default" w:ascii="Times New Roman" w:hAnsi="Times New Roman" w:eastAsia="宋体" w:cs="Arial"/>
                      <w:i w:val="0"/>
                      <w:iCs w:val="0"/>
                      <w:caps w:val="0"/>
                      <w:color w:val="auto"/>
                      <w:spacing w:val="0"/>
                      <w:sz w:val="21"/>
                      <w:szCs w:val="21"/>
                      <w:shd w:val="clear" w:fill="FFFFFF"/>
                    </w:rPr>
                    <w:fldChar w:fldCharType="begin"/>
                  </w:r>
                  <w:r>
                    <w:rPr>
                      <w:rFonts w:hint="default" w:ascii="Times New Roman" w:hAnsi="Times New Roman" w:eastAsia="宋体" w:cs="Arial"/>
                      <w:i w:val="0"/>
                      <w:iCs w:val="0"/>
                      <w:caps w:val="0"/>
                      <w:color w:val="auto"/>
                      <w:spacing w:val="0"/>
                      <w:sz w:val="21"/>
                      <w:szCs w:val="21"/>
                      <w:shd w:val="clear" w:fill="FFFFFF"/>
                    </w:rPr>
                    <w:instrText xml:space="preserve"> HYPERLINK "https://baike.baidu.com/item/MDI/2031491" \t "https://baike.baidu.com/item/_blank" </w:instrText>
                  </w:r>
                  <w:r>
                    <w:rPr>
                      <w:rFonts w:hint="default" w:ascii="Times New Roman" w:hAnsi="Times New Roman" w:eastAsia="宋体" w:cs="Arial"/>
                      <w:i w:val="0"/>
                      <w:iCs w:val="0"/>
                      <w:caps w:val="0"/>
                      <w:color w:val="auto"/>
                      <w:spacing w:val="0"/>
                      <w:sz w:val="21"/>
                      <w:szCs w:val="21"/>
                      <w:shd w:val="clear" w:fill="FFFFFF"/>
                    </w:rPr>
                    <w:fldChar w:fldCharType="separate"/>
                  </w:r>
                  <w:r>
                    <w:rPr>
                      <w:rFonts w:hint="default" w:ascii="Times New Roman" w:hAnsi="Times New Roman" w:eastAsia="宋体" w:cs="Arial"/>
                      <w:i w:val="0"/>
                      <w:iCs w:val="0"/>
                      <w:caps w:val="0"/>
                      <w:color w:val="auto"/>
                      <w:spacing w:val="0"/>
                      <w:sz w:val="21"/>
                      <w:szCs w:val="21"/>
                      <w:shd w:val="clear" w:fill="FFFFFF"/>
                    </w:rPr>
                    <w:t>MDI</w:t>
                  </w:r>
                  <w:r>
                    <w:rPr>
                      <w:rFonts w:hint="default" w:ascii="Times New Roman" w:hAnsi="Times New Roman" w:eastAsia="宋体" w:cs="Arial"/>
                      <w:i w:val="0"/>
                      <w:iCs w:val="0"/>
                      <w:caps w:val="0"/>
                      <w:color w:val="auto"/>
                      <w:spacing w:val="0"/>
                      <w:sz w:val="21"/>
                      <w:szCs w:val="21"/>
                      <w:shd w:val="clear" w:fill="FFFFFF"/>
                    </w:rPr>
                    <w:fldChar w:fldCharType="end"/>
                  </w:r>
                  <w:r>
                    <w:rPr>
                      <w:rFonts w:hint="default" w:ascii="Times New Roman" w:hAnsi="Times New Roman" w:eastAsia="宋体" w:cs="Arial"/>
                      <w:i w:val="0"/>
                      <w:iCs w:val="0"/>
                      <w:caps w:val="0"/>
                      <w:color w:val="auto"/>
                      <w:spacing w:val="0"/>
                      <w:sz w:val="21"/>
                      <w:szCs w:val="21"/>
                      <w:shd w:val="clear" w:fill="FFFFFF"/>
                    </w:rPr>
                    <w:t>高，有刺激性，应穿戴好防护用具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3" w:type="pct"/>
                  <w:noWrap w:val="0"/>
                  <w:vAlign w:val="center"/>
                </w:tcPr>
                <w:p>
                  <w:pPr>
                    <w:jc w:val="center"/>
                    <w:rPr>
                      <w:rFonts w:hint="default" w:ascii="Times New Roman" w:hAnsi="Times New Roman" w:eastAsia="宋体" w:cs="Times New Roman"/>
                      <w:color w:val="auto"/>
                      <w:kern w:val="2"/>
                      <w:sz w:val="21"/>
                      <w:szCs w:val="28"/>
                      <w:lang w:val="en-US" w:eastAsia="zh-CN" w:bidi="ar-SA"/>
                    </w:rPr>
                  </w:pPr>
                  <w:r>
                    <w:rPr>
                      <w:rFonts w:hint="eastAsia" w:ascii="Times New Roman" w:hAnsi="Times New Roman" w:eastAsia="宋体" w:cs="Times New Roman"/>
                      <w:color w:val="auto"/>
                      <w:szCs w:val="28"/>
                      <w:lang w:val="en-US" w:eastAsia="zh-CN"/>
                    </w:rPr>
                    <w:t>2</w:t>
                  </w:r>
                </w:p>
              </w:tc>
              <w:tc>
                <w:tcPr>
                  <w:tcW w:w="350" w:type="pct"/>
                  <w:vMerge w:val="continue"/>
                  <w:noWrap w:val="0"/>
                  <w:vAlign w:val="center"/>
                </w:tcPr>
                <w:p>
                  <w:pPr>
                    <w:jc w:val="center"/>
                    <w:rPr>
                      <w:rFonts w:hint="default" w:ascii="Times New Roman" w:hAnsi="Times New Roman" w:eastAsia="宋体" w:cs="Times New Roman"/>
                      <w:color w:val="auto"/>
                      <w:szCs w:val="28"/>
                    </w:rPr>
                  </w:pPr>
                </w:p>
              </w:tc>
              <w:tc>
                <w:tcPr>
                  <w:tcW w:w="463" w:type="pct"/>
                  <w:noWrap w:val="0"/>
                  <w:vAlign w:val="center"/>
                </w:tcPr>
                <w:p>
                  <w:pPr>
                    <w:jc w:val="center"/>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醋酸丁酯</w:t>
                  </w:r>
                </w:p>
              </w:tc>
              <w:tc>
                <w:tcPr>
                  <w:tcW w:w="2524" w:type="pct"/>
                  <w:noWrap w:val="0"/>
                  <w:vAlign w:val="center"/>
                </w:tcPr>
                <w:p>
                  <w:pPr>
                    <w:jc w:val="center"/>
                    <w:rPr>
                      <w:rFonts w:hint="default" w:ascii="Times New Roman" w:hAnsi="Times New Roman" w:eastAsia="宋体" w:cs="Times New Roman"/>
                      <w:color w:val="auto"/>
                      <w:szCs w:val="28"/>
                      <w:lang w:eastAsia="zh-CN"/>
                    </w:rPr>
                  </w:pPr>
                  <w:r>
                    <w:rPr>
                      <w:rFonts w:hint="eastAsia" w:ascii="Times New Roman" w:hAnsi="Times New Roman" w:eastAsia="宋体" w:cs="Times New Roman"/>
                      <w:color w:val="auto"/>
                      <w:lang w:eastAsia="zh-CN"/>
                    </w:rPr>
                    <w:t>简称乙酸丁酯，为无色透明有愉快果香气味的液体。较低级同系物难溶于，与醇、醚、酮等</w:t>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"https://baike.baidu.com/item/%E6%9C%89%E6%9C%BA%E6%BA%B6%E5%89%82/7921016" \t "https://baike.baidu.com/item/%E4%B9%99%E9%85%B8%E6%AD%A3%E4%B8%81%E9%85%AF/_blank"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有机溶剂</w:t>
                  </w:r>
                  <w:r>
                    <w:rPr>
                      <w:rFonts w:hint="default" w:ascii="Times New Roman" w:hAnsi="Times New Roman" w:eastAsia="宋体" w:cs="Times New Roman"/>
                      <w:color w:val="auto"/>
                      <w:lang w:eastAsia="zh-CN"/>
                    </w:rPr>
                    <w:fldChar w:fldCharType="end"/>
                  </w:r>
                  <w:r>
                    <w:rPr>
                      <w:rFonts w:hint="default" w:ascii="Times New Roman" w:hAnsi="Times New Roman" w:eastAsia="宋体" w:cs="Times New Roman"/>
                      <w:color w:val="auto"/>
                      <w:lang w:eastAsia="zh-CN"/>
                    </w:rPr>
                    <w:t>混溶，易燃。急性毒性较小，但对眼鼻有较强的刺激性，而且在高浓度下会引起麻醉。乙酸正丁酯是一种优良的有机溶剂，对</w:t>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"https://baike.baidu.com/item/%E4%B9%99%E5%9F%BA%E7%BA%A4%E7%BB%B4%E7%B4%A0/10365635" \t "https://baike.baidu.com/item/%E4%B9%99%E9%85%B8%E6%AD%A3%E4%B8%81%E9%85%AF/_blank"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乙基纤维素</w:t>
                  </w:r>
                  <w:r>
                    <w:rPr>
                      <w:rFonts w:hint="default" w:ascii="Times New Roman" w:hAnsi="Times New Roman" w:eastAsia="宋体" w:cs="Times New Roman"/>
                      <w:color w:val="auto"/>
                      <w:lang w:eastAsia="zh-CN"/>
                    </w:rPr>
                    <w:fldChar w:fldCharType="end"/>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"https://baike.baidu.com/item/%E9%86%8B%E9%85%B8%E4%B8%81%E9%85%B8%E7%BA%A4%E7%BB%B4%E7%B4%A0/7679118" \t "https://baike.baidu.com/item/%E4%B9%99%E9%85%B8%E6%AD%A3%E4%B8%81%E9%85%AF/_blank"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醋酸丁酸纤维素</w:t>
                  </w:r>
                  <w:r>
                    <w:rPr>
                      <w:rFonts w:hint="default" w:ascii="Times New Roman" w:hAnsi="Times New Roman" w:eastAsia="宋体" w:cs="Times New Roman"/>
                      <w:color w:val="auto"/>
                      <w:lang w:eastAsia="zh-CN"/>
                    </w:rPr>
                    <w:fldChar w:fldCharType="end"/>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"https://baike.baidu.com/item/%E8%81%9A%E8%8B%AF%E4%B9%99%E7%83%AF/4288224" \t "https://baike.baidu.com/item/%E4%B9%99%E9%85%B8%E6%AD%A3%E4%B8%81%E9%85%AF/_blank"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聚苯乙烯</w:t>
                  </w:r>
                  <w:r>
                    <w:rPr>
                      <w:rFonts w:hint="default" w:ascii="Times New Roman" w:hAnsi="Times New Roman" w:eastAsia="宋体" w:cs="Times New Roman"/>
                      <w:color w:val="auto"/>
                      <w:lang w:eastAsia="zh-CN"/>
                    </w:rPr>
                    <w:fldChar w:fldCharType="end"/>
                  </w:r>
                  <w:r>
                    <w:rPr>
                      <w:rFonts w:hint="default" w:ascii="Times New Roman" w:hAnsi="Times New Roman" w:eastAsia="宋体" w:cs="Times New Roman"/>
                      <w:color w:val="auto"/>
                      <w:lang w:eastAsia="zh-CN"/>
                    </w:rPr>
                    <w:t>、甲基丙烯酸树脂、</w:t>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"https://baike.baidu.com/item/%E6%B0%AF%E5%8C%96%E6%A9%A1%E8%83%B6/5533891" \t "https://baike.baidu.com/item/%E4%B9%99%E9%85%B8%E6%AD%A3%E4%B8%81%E9%85%AF/_blank"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氯化橡胶</w:t>
                  </w:r>
                  <w:r>
                    <w:rPr>
                      <w:rFonts w:hint="default" w:ascii="Times New Roman" w:hAnsi="Times New Roman" w:eastAsia="宋体" w:cs="Times New Roman"/>
                      <w:color w:val="auto"/>
                      <w:lang w:eastAsia="zh-CN"/>
                    </w:rPr>
                    <w:fldChar w:fldCharType="end"/>
                  </w:r>
                  <w:r>
                    <w:rPr>
                      <w:rFonts w:hint="default" w:ascii="Times New Roman" w:hAnsi="Times New Roman" w:eastAsia="宋体" w:cs="Times New Roman"/>
                      <w:color w:val="auto"/>
                      <w:lang w:eastAsia="zh-CN"/>
                    </w:rPr>
                    <w:t>以及多种天然树胶均有较好的溶解性能</w:t>
                  </w:r>
                </w:p>
              </w:tc>
              <w:tc>
                <w:tcPr>
                  <w:tcW w:w="1308" w:type="pct"/>
                  <w:noWrap w:val="0"/>
                  <w:vAlign w:val="center"/>
                </w:tcPr>
                <w:p>
                  <w:pPr>
                    <w:jc w:val="center"/>
                    <w:rPr>
                      <w:rFonts w:hint="default" w:ascii="Times New Roman" w:hAnsi="Times New Roman" w:eastAsia="宋体" w:cs="Times New Roman"/>
                      <w:color w:val="auto"/>
                      <w:szCs w:val="28"/>
                      <w:lang w:val="en-US" w:eastAsia="zh-CN"/>
                    </w:rPr>
                  </w:pPr>
                  <w:r>
                    <w:rPr>
                      <w:rFonts w:hint="default" w:ascii="Times New Roman" w:hAnsi="Times New Roman" w:eastAsia="宋体" w:cs="Times New Roman"/>
                      <w:color w:val="auto"/>
                      <w:kern w:val="0"/>
                      <w:szCs w:val="21"/>
                      <w:lang w:val="en-US" w:eastAsia="zh-CN"/>
                    </w:rPr>
                    <w:t>LD50：</w:t>
                  </w:r>
                  <w:r>
                    <w:rPr>
                      <w:rFonts w:hint="eastAsia" w:ascii="Times New Roman" w:hAnsi="Times New Roman" w:eastAsia="宋体" w:cs="Times New Roman"/>
                      <w:color w:val="auto"/>
                      <w:kern w:val="0"/>
                      <w:szCs w:val="21"/>
                    </w:rPr>
                    <w:t>口服-大鼠LD50:10768毫克/公斤;口服-小鼠LD50:7076毫克/公斤</w:t>
                  </w:r>
                  <w:r>
                    <w:rPr>
                      <w:rFonts w:hint="default" w:ascii="Times New Roman" w:hAnsi="Times New Roman" w:eastAsia="宋体" w:cs="Times New Roman"/>
                      <w:color w:val="auto"/>
                      <w:kern w:val="0"/>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3" w:type="pct"/>
                  <w:noWrap w:val="0"/>
                  <w:vAlign w:val="center"/>
                </w:tcPr>
                <w:p>
                  <w:pPr>
                    <w:jc w:val="center"/>
                    <w:rPr>
                      <w:rFonts w:hint="eastAsia" w:ascii="Times New Roman" w:hAnsi="Times New Roman" w:eastAsia="宋体" w:cs="Times New Roman"/>
                      <w:color w:val="auto"/>
                      <w:kern w:val="2"/>
                      <w:sz w:val="21"/>
                      <w:szCs w:val="28"/>
                      <w:lang w:val="en-US" w:eastAsia="zh-CN" w:bidi="ar-SA"/>
                    </w:rPr>
                  </w:pPr>
                  <w:r>
                    <w:rPr>
                      <w:rFonts w:hint="eastAsia" w:ascii="Times New Roman" w:hAnsi="Times New Roman" w:eastAsia="宋体" w:cs="Times New Roman"/>
                      <w:color w:val="auto"/>
                      <w:szCs w:val="28"/>
                      <w:lang w:val="en-US" w:eastAsia="zh-CN"/>
                    </w:rPr>
                    <w:t>3</w:t>
                  </w:r>
                </w:p>
              </w:tc>
              <w:tc>
                <w:tcPr>
                  <w:tcW w:w="350" w:type="pct"/>
                  <w:vMerge w:val="restart"/>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szCs w:val="28"/>
                      <w:lang w:eastAsia="zh-CN"/>
                    </w:rPr>
                    <w:t>稀释剂</w:t>
                  </w:r>
                </w:p>
              </w:tc>
              <w:tc>
                <w:tcPr>
                  <w:tcW w:w="463" w:type="pct"/>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二甲苯</w:t>
                  </w:r>
                </w:p>
              </w:tc>
              <w:tc>
                <w:tcPr>
                  <w:tcW w:w="2524" w:type="pct"/>
                  <w:noWrap w:val="0"/>
                  <w:vAlign w:val="center"/>
                </w:tcPr>
                <w:p>
                  <w:pPr>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1"/>
                      <w:lang w:eastAsia="zh-CN"/>
                    </w:rPr>
                    <w:t>分子式</w:t>
                  </w:r>
                  <w:r>
                    <w:rPr>
                      <w:rFonts w:hint="default" w:ascii="Times New Roman" w:hAnsi="Times New Roman" w:eastAsia="宋体" w:cs="Times New Roman"/>
                      <w:color w:val="auto"/>
                      <w:szCs w:val="21"/>
                    </w:rPr>
                    <w:t>C</w:t>
                  </w:r>
                  <w:r>
                    <w:rPr>
                      <w:rFonts w:hint="default" w:ascii="Times New Roman" w:hAnsi="Times New Roman" w:eastAsia="宋体" w:cs="Times New Roman"/>
                      <w:color w:val="auto"/>
                      <w:szCs w:val="21"/>
                      <w:vertAlign w:val="subscript"/>
                    </w:rPr>
                    <w:t>8</w:t>
                  </w:r>
                  <w:r>
                    <w:rPr>
                      <w:rFonts w:hint="default" w:ascii="Times New Roman" w:hAnsi="Times New Roman" w:eastAsia="宋体" w:cs="Times New Roman"/>
                      <w:color w:val="auto"/>
                      <w:szCs w:val="21"/>
                    </w:rPr>
                    <w:t>H</w:t>
                  </w:r>
                  <w:r>
                    <w:rPr>
                      <w:rFonts w:hint="default" w:ascii="Times New Roman" w:hAnsi="Times New Roman" w:eastAsia="宋体" w:cs="Times New Roman"/>
                      <w:color w:val="auto"/>
                      <w:szCs w:val="21"/>
                      <w:vertAlign w:val="subscript"/>
                    </w:rPr>
                    <w:t>10</w:t>
                  </w:r>
                  <w:r>
                    <w:rPr>
                      <w:rFonts w:hint="default" w:ascii="Times New Roman" w:hAnsi="Times New Roman" w:eastAsia="宋体" w:cs="Times New Roman"/>
                      <w:color w:val="auto"/>
                      <w:szCs w:val="28"/>
                    </w:rPr>
                    <w:t>，分子量106.16，无色透明液体，有芳香气味，相对密度0.86，闪点25℃</w:t>
                  </w:r>
                  <w:r>
                    <w:rPr>
                      <w:rFonts w:hint="default" w:ascii="Times New Roman" w:hAnsi="Times New Roman" w:eastAsia="宋体" w:cs="Times New Roman"/>
                      <w:color w:val="auto"/>
                      <w:szCs w:val="28"/>
                      <w:lang w:eastAsia="zh-CN"/>
                    </w:rPr>
                    <w:t>，</w:t>
                  </w:r>
                  <w:r>
                    <w:rPr>
                      <w:rFonts w:hint="default" w:ascii="Times New Roman" w:hAnsi="Times New Roman" w:eastAsia="宋体" w:cs="Times New Roman"/>
                      <w:color w:val="auto"/>
                      <w:szCs w:val="28"/>
                    </w:rPr>
                    <w:t>不溶于水，溶于乙醇、乙醚等有机溶剂。</w:t>
                  </w:r>
                </w:p>
              </w:tc>
              <w:tc>
                <w:tcPr>
                  <w:tcW w:w="1308" w:type="pct"/>
                  <w:noWrap w:val="0"/>
                  <w:vAlign w:val="center"/>
                </w:tcPr>
                <w:p>
                  <w:pPr>
                    <w:jc w:val="center"/>
                    <w:rPr>
                      <w:rFonts w:hint="default" w:ascii="Times New Roman" w:hAnsi="Times New Roman" w:eastAsia="宋体" w:cs="Times New Roman"/>
                      <w:color w:val="auto"/>
                      <w:szCs w:val="28"/>
                      <w:lang w:eastAsia="zh-CN"/>
                    </w:rPr>
                  </w:pPr>
                  <w:r>
                    <w:rPr>
                      <w:rFonts w:hint="default" w:ascii="Times New Roman" w:hAnsi="Times New Roman" w:eastAsia="宋体" w:cs="Times New Roman"/>
                      <w:color w:val="auto"/>
                      <w:kern w:val="0"/>
                      <w:szCs w:val="21"/>
                    </w:rPr>
                    <w:t>LD</w:t>
                  </w:r>
                  <w:r>
                    <w:rPr>
                      <w:rFonts w:hint="default" w:ascii="Times New Roman" w:hAnsi="Times New Roman" w:eastAsia="宋体" w:cs="Times New Roman"/>
                      <w:color w:val="auto"/>
                      <w:kern w:val="0"/>
                      <w:szCs w:val="21"/>
                      <w:vertAlign w:val="subscript"/>
                    </w:rPr>
                    <w:t>50</w:t>
                  </w:r>
                  <w:r>
                    <w:rPr>
                      <w:rFonts w:hint="default" w:ascii="Times New Roman" w:hAnsi="Times New Roman" w:eastAsia="宋体" w:cs="Times New Roman"/>
                      <w:color w:val="auto"/>
                      <w:kern w:val="0"/>
                      <w:szCs w:val="21"/>
                    </w:rPr>
                    <w:t> 5000mg/kg(大鼠径口)；14100 mg/kg（兔经皮）</w:t>
                  </w:r>
                  <w:r>
                    <w:rPr>
                      <w:rFonts w:hint="default" w:ascii="Times New Roman" w:hAnsi="Times New Roman" w:eastAsia="宋体" w:cs="Times New Roman"/>
                      <w:color w:val="auto"/>
                      <w:kern w:val="0"/>
                      <w:szCs w:val="21"/>
                      <w:lang w:eastAsia="zh-CN"/>
                    </w:rPr>
                    <w:t>；中等</w:t>
                  </w:r>
                  <w:r>
                    <w:rPr>
                      <w:rFonts w:hint="default" w:ascii="Times New Roman" w:hAnsi="Times New Roman" w:eastAsia="宋体" w:cs="Times New Roman"/>
                      <w:color w:val="auto"/>
                      <w:kern w:val="0"/>
                      <w:szCs w:val="21"/>
                    </w:rPr>
                    <w:t>毒</w:t>
                  </w:r>
                  <w:r>
                    <w:rPr>
                      <w:rFonts w:hint="default" w:ascii="Times New Roman" w:hAnsi="Times New Roman" w:eastAsia="宋体" w:cs="Times New Roman"/>
                      <w:color w:val="auto"/>
                      <w:kern w:val="0"/>
                      <w:szCs w:val="21"/>
                      <w:lang w:eastAsia="zh-CN"/>
                    </w:rPr>
                    <w:t>性，有刺激作用。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3" w:type="pct"/>
                  <w:noWrap w:val="0"/>
                  <w:vAlign w:val="center"/>
                </w:tcPr>
                <w:p>
                  <w:pPr>
                    <w:jc w:val="center"/>
                    <w:rPr>
                      <w:rFonts w:hint="eastAsia" w:ascii="Times New Roman" w:hAnsi="Times New Roman" w:eastAsia="宋体" w:cs="Times New Roman"/>
                      <w:color w:val="auto"/>
                      <w:kern w:val="2"/>
                      <w:sz w:val="21"/>
                      <w:szCs w:val="28"/>
                      <w:lang w:val="en-US" w:eastAsia="zh-CN" w:bidi="ar-SA"/>
                    </w:rPr>
                  </w:pPr>
                  <w:r>
                    <w:rPr>
                      <w:rFonts w:hint="eastAsia" w:ascii="Times New Roman" w:hAnsi="Times New Roman" w:eastAsia="宋体" w:cs="Times New Roman"/>
                      <w:color w:val="auto"/>
                      <w:szCs w:val="28"/>
                      <w:lang w:val="en-US" w:eastAsia="zh-CN"/>
                    </w:rPr>
                    <w:t>4</w:t>
                  </w:r>
                </w:p>
              </w:tc>
              <w:tc>
                <w:tcPr>
                  <w:tcW w:w="350" w:type="pct"/>
                  <w:vMerge w:val="continue"/>
                  <w:noWrap w:val="0"/>
                  <w:vAlign w:val="center"/>
                </w:tcPr>
                <w:p>
                  <w:pPr>
                    <w:jc w:val="center"/>
                    <w:rPr>
                      <w:rFonts w:hint="default" w:ascii="Times New Roman" w:hAnsi="Times New Roman" w:eastAsia="宋体" w:cs="Times New Roman"/>
                      <w:color w:val="auto"/>
                      <w:szCs w:val="28"/>
                    </w:rPr>
                  </w:pPr>
                </w:p>
              </w:tc>
              <w:tc>
                <w:tcPr>
                  <w:tcW w:w="463" w:type="pct"/>
                  <w:noWrap w:val="0"/>
                  <w:vAlign w:val="center"/>
                </w:tcPr>
                <w:p>
                  <w:pPr>
                    <w:jc w:val="center"/>
                    <w:rPr>
                      <w:rFonts w:hint="default" w:ascii="Times New Roman" w:hAnsi="Times New Roman" w:eastAsia="宋体" w:cs="Times New Roman"/>
                      <w:color w:val="auto"/>
                      <w:lang w:eastAsia="zh-CN"/>
                    </w:rPr>
                  </w:pPr>
                  <w:r>
                    <w:rPr>
                      <w:rFonts w:hint="eastAsia" w:ascii="Times New Roman" w:hAnsi="Times New Roman" w:eastAsia="宋体"/>
                      <w:b w:val="0"/>
                      <w:bCs/>
                      <w:color w:val="auto"/>
                      <w:sz w:val="21"/>
                      <w:szCs w:val="21"/>
                      <w:lang w:val="en-US" w:eastAsia="zh-CN"/>
                    </w:rPr>
                    <w:t>甲苯</w:t>
                  </w:r>
                </w:p>
              </w:tc>
              <w:tc>
                <w:tcPr>
                  <w:tcW w:w="2524" w:type="pct"/>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分子式</w:t>
                  </w:r>
                  <w:r>
                    <w:rPr>
                      <w:rFonts w:hint="eastAsia" w:ascii="Times New Roman" w:hAnsi="Times New Roman" w:eastAsia="宋体" w:cs="Times New Roman"/>
                      <w:color w:val="auto"/>
                      <w:szCs w:val="21"/>
                      <w:lang w:eastAsia="zh-CN"/>
                    </w:rPr>
                    <w:t>C</w:t>
                  </w:r>
                  <w:r>
                    <w:rPr>
                      <w:rFonts w:hint="default" w:ascii="Times New Roman" w:hAnsi="Times New Roman" w:eastAsia="宋体" w:cs="Times New Roman"/>
                      <w:color w:val="auto"/>
                      <w:szCs w:val="21"/>
                      <w:lang w:eastAsia="zh-CN"/>
                    </w:rPr>
                    <w:t>7H8</w:t>
                  </w:r>
                  <w:r>
                    <w:rPr>
                      <w:rFonts w:hint="eastAsia" w:ascii="Times New Roman" w:hAnsi="Times New Roman" w:eastAsia="宋体" w:cs="Times New Roman"/>
                      <w:color w:val="auto"/>
                      <w:szCs w:val="21"/>
                      <w:lang w:eastAsia="zh-CN"/>
                    </w:rPr>
                    <w:t>。无色、带特殊芳香味的易挥发液体。有强折光性。能与</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"https://baike.baidu.com/item/%E4%B9%99%E9%86%87/135334"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乙醇</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 </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"https://baike.baidu.com/item/%E4%B9%99%E9%86%9A/316922"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乙醚</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"https://baike.baidu.com/item/%E4%B8%99%E9%85%AE/955883"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丙酮</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"https://baike.baidu.com/item/%E6%B0%AF%E4%BB%BF/521847"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氯仿</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"https://baike.baidu.com/item/%E4%BA%8C%E7%A1%AB%E5%8C%96%E7%A2%B3/6032457"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二硫化碳</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和</w:t>
                  </w:r>
                  <w:r>
                    <w:rPr>
                      <w:rFonts w:hint="default" w:ascii="Times New Roman" w:hAnsi="Times New Roman" w:eastAsia="宋体" w:cs="Times New Roman"/>
                      <w:color w:val="auto"/>
                      <w:szCs w:val="21"/>
                      <w:lang w:eastAsia="zh-CN"/>
                    </w:rPr>
                    <w:fldChar w:fldCharType="begin"/>
                  </w:r>
                  <w:r>
                    <w:rPr>
                      <w:rFonts w:hint="default" w:ascii="Times New Roman" w:hAnsi="Times New Roman" w:eastAsia="宋体" w:cs="Times New Roman"/>
                      <w:color w:val="auto"/>
                      <w:szCs w:val="21"/>
                      <w:lang w:eastAsia="zh-CN"/>
                    </w:rPr>
                    <w:instrText xml:space="preserve"> HYPERLINK "https://baike.baidu.com/item/%E5%86%B0%E4%B9%99%E9%85%B8/650983" \t "https://baike.baidu.com/item/_blank" </w:instrText>
                  </w:r>
                  <w:r>
                    <w:rPr>
                      <w:rFonts w:hint="default" w:ascii="Times New Roman" w:hAnsi="Times New Roman" w:eastAsia="宋体" w:cs="Times New Roman"/>
                      <w:color w:val="auto"/>
                      <w:szCs w:val="21"/>
                      <w:lang w:eastAsia="zh-CN"/>
                    </w:rPr>
                    <w:fldChar w:fldCharType="separate"/>
                  </w:r>
                  <w:r>
                    <w:rPr>
                      <w:rFonts w:hint="default" w:ascii="Times New Roman" w:hAnsi="Times New Roman" w:eastAsia="宋体" w:cs="Times New Roman"/>
                      <w:color w:val="auto"/>
                      <w:szCs w:val="21"/>
                      <w:lang w:eastAsia="zh-CN"/>
                    </w:rPr>
                    <w:t>冰乙酸</w:t>
                  </w:r>
                  <w:r>
                    <w:rPr>
                      <w:rFonts w:hint="default" w:ascii="Times New Roman" w:hAnsi="Times New Roman" w:eastAsia="宋体" w:cs="Times New Roman"/>
                      <w:color w:val="auto"/>
                      <w:szCs w:val="21"/>
                      <w:lang w:eastAsia="zh-CN"/>
                    </w:rPr>
                    <w:fldChar w:fldCharType="end"/>
                  </w:r>
                  <w:r>
                    <w:rPr>
                      <w:rFonts w:hint="default" w:ascii="Times New Roman" w:hAnsi="Times New Roman" w:eastAsia="宋体" w:cs="Times New Roman"/>
                      <w:color w:val="auto"/>
                      <w:szCs w:val="21"/>
                      <w:lang w:eastAsia="zh-CN"/>
                    </w:rPr>
                    <w:t>混溶，极微溶于水。易燃，蒸气能与空气形成爆炸性混合物，混合物的体积浓度在较低范围时即可发生爆炸</w:t>
                  </w:r>
                </w:p>
              </w:tc>
              <w:tc>
                <w:tcPr>
                  <w:tcW w:w="1308" w:type="pct"/>
                  <w:noWrap w:val="0"/>
                  <w:vAlign w:val="center"/>
                </w:tcPr>
                <w:p>
                  <w:pPr>
                    <w:jc w:val="center"/>
                    <w:rPr>
                      <w:rFonts w:hint="default"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低毒，半数致死量（大鼠，经口）5000mg/kg。高浓度气体有麻醉性，有刺激性</w:t>
                  </w:r>
                  <w:r>
                    <w:rPr>
                      <w:rFonts w:hint="default" w:ascii="Times New Roman" w:hAnsi="Times New Roman" w:eastAsia="宋体" w:cs="Times New Roman"/>
                      <w:color w:val="auto"/>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3" w:type="pct"/>
                  <w:noWrap w:val="0"/>
                  <w:vAlign w:val="center"/>
                </w:tcPr>
                <w:p>
                  <w:pPr>
                    <w:jc w:val="center"/>
                    <w:rPr>
                      <w:rFonts w:hint="default" w:ascii="Times New Roman" w:hAnsi="Times New Roman" w:eastAsia="宋体" w:cs="Times New Roman"/>
                      <w:color w:val="auto"/>
                      <w:szCs w:val="28"/>
                      <w:lang w:val="en-US" w:eastAsia="zh-CN"/>
                    </w:rPr>
                  </w:pPr>
                  <w:r>
                    <w:rPr>
                      <w:rFonts w:hint="eastAsia" w:ascii="Times New Roman" w:hAnsi="Times New Roman" w:eastAsia="宋体" w:cs="Times New Roman"/>
                      <w:color w:val="auto"/>
                      <w:szCs w:val="28"/>
                      <w:lang w:val="en-US" w:eastAsia="zh-CN"/>
                    </w:rPr>
                    <w:t>5</w:t>
                  </w:r>
                </w:p>
              </w:tc>
              <w:tc>
                <w:tcPr>
                  <w:tcW w:w="350" w:type="pct"/>
                  <w:vMerge w:val="continue"/>
                  <w:noWrap w:val="0"/>
                  <w:vAlign w:val="center"/>
                </w:tcPr>
                <w:p>
                  <w:pPr>
                    <w:jc w:val="center"/>
                    <w:rPr>
                      <w:rFonts w:hint="default" w:ascii="Times New Roman" w:hAnsi="Times New Roman" w:eastAsia="宋体" w:cs="Times New Roman"/>
                      <w:color w:val="auto"/>
                      <w:szCs w:val="28"/>
                      <w:lang w:val="en-US" w:eastAsia="zh-CN"/>
                    </w:rPr>
                  </w:pPr>
                </w:p>
              </w:tc>
              <w:tc>
                <w:tcPr>
                  <w:tcW w:w="463" w:type="pct"/>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溶剂</w:t>
                  </w:r>
                </w:p>
                <w:p>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轻油</w:t>
                  </w:r>
                </w:p>
              </w:tc>
              <w:tc>
                <w:tcPr>
                  <w:tcW w:w="2524" w:type="pct"/>
                  <w:noWrap w:val="0"/>
                  <w:vAlign w:val="center"/>
                </w:tcPr>
                <w:p>
                  <w:pPr>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8"/>
                    </w:rPr>
                    <w:t>主要成分是含5~11个碳原子的链烷、环烷或芳烃；轻油在常温、常压下为无色透明或微黄色液体，有特殊气味，不溶于水。</w:t>
                  </w:r>
                </w:p>
              </w:tc>
              <w:tc>
                <w:tcPr>
                  <w:tcW w:w="1308" w:type="pct"/>
                  <w:noWrap w:val="0"/>
                  <w:vAlign w:val="center"/>
                </w:tcPr>
                <w:p>
                  <w:pPr>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8"/>
                    </w:rPr>
                    <w:t>/</w:t>
                  </w:r>
                </w:p>
              </w:tc>
            </w:tr>
          </w:tbl>
          <w:p>
            <w:pPr>
              <w:spacing w:line="480" w:lineRule="exact"/>
              <w:ind w:firstLine="480" w:firstLineChars="200"/>
              <w:rPr>
                <w:rFonts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lang w:val="en-US" w:eastAsia="zh-CN"/>
              </w:rPr>
              <w:t>）涂料用量的合理性分析</w:t>
            </w:r>
          </w:p>
          <w:p>
            <w:pPr>
              <w:pStyle w:val="56"/>
              <w:keepNext w:val="0"/>
              <w:keepLines w:val="0"/>
              <w:pageBreakBefore w:val="0"/>
              <w:widowControl w:val="0"/>
              <w:kinsoku/>
              <w:wordWrap/>
              <w:overflowPunct/>
              <w:topLinePunct w:val="0"/>
              <w:autoSpaceDE w:val="0"/>
              <w:autoSpaceDN w:val="0"/>
              <w:bidi w:val="0"/>
              <w:adjustRightInd w:val="0"/>
              <w:snapToGrid/>
              <w:spacing w:line="500" w:lineRule="exact"/>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本项目喷涂所采用漆料均为原料供应厂家调配好稀释剂的成品涂料，因此，喷涂工序用漆量核算公式为：</w:t>
            </w:r>
          </w:p>
          <w:p>
            <w:pPr>
              <w:keepNext w:val="0"/>
              <w:keepLines w:val="0"/>
              <w:pageBreakBefore w:val="0"/>
              <w:widowControl/>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m=ρδs</w:t>
            </w:r>
            <w:r>
              <w:rPr>
                <w:rFonts w:hint="default" w:ascii="Times New Roman" w:hAnsi="Times New Roman" w:eastAsia="宋体" w:cs="Times New Roman"/>
                <w:color w:val="auto"/>
                <w:spacing w:val="6"/>
                <w:sz w:val="24"/>
              </w:rPr>
              <w:t>η</w:t>
            </w:r>
            <w:r>
              <w:rPr>
                <w:rFonts w:hint="default" w:ascii="Times New Roman" w:hAnsi="Times New Roman" w:eastAsia="宋体" w:cs="Times New Roman"/>
                <w:bCs/>
                <w:color w:val="auto"/>
                <w:sz w:val="24"/>
              </w:rPr>
              <w:t>×10</w:t>
            </w:r>
            <w:r>
              <w:rPr>
                <w:rFonts w:hint="default" w:ascii="Times New Roman" w:hAnsi="Times New Roman" w:eastAsia="宋体" w:cs="Times New Roman"/>
                <w:bCs/>
                <w:color w:val="auto"/>
                <w:sz w:val="24"/>
                <w:vertAlign w:val="superscript"/>
              </w:rPr>
              <w:t>-6</w:t>
            </w:r>
            <w:r>
              <w:rPr>
                <w:rFonts w:hint="default" w:ascii="Times New Roman" w:hAnsi="Times New Roman" w:eastAsia="宋体" w:cs="Times New Roman"/>
                <w:bCs/>
                <w:color w:val="auto"/>
                <w:sz w:val="24"/>
              </w:rPr>
              <w:t>/（NV·ε）</w:t>
            </w:r>
          </w:p>
          <w:p>
            <w:pPr>
              <w:keepNext w:val="0"/>
              <w:keepLines w:val="0"/>
              <w:pageBreakBefore w:val="0"/>
              <w:widowControl/>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其中：m——油漆</w:t>
            </w:r>
            <w:r>
              <w:rPr>
                <w:rFonts w:hint="default" w:ascii="Times New Roman" w:hAnsi="Times New Roman" w:eastAsia="宋体" w:cs="Times New Roman"/>
                <w:bCs/>
                <w:color w:val="auto"/>
                <w:sz w:val="24"/>
                <w:lang w:eastAsia="zh-CN"/>
              </w:rPr>
              <w:t>总</w:t>
            </w:r>
            <w:r>
              <w:rPr>
                <w:rFonts w:hint="default" w:ascii="Times New Roman" w:hAnsi="Times New Roman" w:eastAsia="宋体" w:cs="Times New Roman"/>
                <w:bCs/>
                <w:color w:val="auto"/>
                <w:sz w:val="24"/>
              </w:rPr>
              <w:t>用量（t/a）；</w:t>
            </w:r>
          </w:p>
          <w:p>
            <w:pPr>
              <w:keepNext w:val="0"/>
              <w:keepLines w:val="0"/>
              <w:pageBreakBefore w:val="0"/>
              <w:widowControl/>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ρ——该油漆密度，单位：g/cm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，取</w:t>
            </w:r>
            <w:r>
              <w:rPr>
                <w:rFonts w:hint="eastAsia" w:ascii="Times New Roman" w:hAnsi="Times New Roman" w:eastAsia="宋体" w:cs="Times New Roman"/>
                <w:bCs/>
                <w:color w:val="auto"/>
                <w:sz w:val="24"/>
                <w:lang w:val="en-US" w:eastAsia="zh-CN"/>
              </w:rPr>
              <w:t>0.9</w:t>
            </w:r>
            <w:r>
              <w:rPr>
                <w:rFonts w:hint="default" w:ascii="Times New Roman" w:hAnsi="Times New Roman" w:eastAsia="宋体" w:cs="Times New Roman"/>
                <w:bCs/>
                <w:color w:val="auto"/>
                <w:sz w:val="24"/>
              </w:rPr>
              <w:t>g/cm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w:t>
            </w:r>
          </w:p>
          <w:p>
            <w:pPr>
              <w:keepNext w:val="0"/>
              <w:keepLines w:val="0"/>
              <w:pageBreakBefore w:val="0"/>
              <w:widowControl/>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δ——</w:t>
            </w:r>
            <w:r>
              <w:rPr>
                <w:rFonts w:hint="default" w:ascii="Times New Roman" w:hAnsi="Times New Roman" w:eastAsia="宋体" w:cs="Times New Roman"/>
                <w:bCs/>
                <w:color w:val="auto"/>
                <w:sz w:val="24"/>
                <w:lang w:eastAsia="zh-CN"/>
              </w:rPr>
              <w:t>平均</w:t>
            </w:r>
            <w:r>
              <w:rPr>
                <w:rFonts w:hint="default" w:ascii="Times New Roman" w:hAnsi="Times New Roman" w:eastAsia="宋体" w:cs="Times New Roman"/>
                <w:bCs/>
                <w:color w:val="auto"/>
                <w:sz w:val="24"/>
              </w:rPr>
              <w:t>涂层厚度（μm），取</w:t>
            </w:r>
            <w:r>
              <w:rPr>
                <w:rFonts w:hint="default" w:ascii="Times New Roman" w:hAnsi="Times New Roman" w:eastAsia="宋体" w:cs="Times New Roman"/>
                <w:bCs/>
                <w:color w:val="auto"/>
                <w:sz w:val="24"/>
                <w:lang w:val="en-US" w:eastAsia="zh-CN"/>
              </w:rPr>
              <w:t>50</w:t>
            </w:r>
            <w:r>
              <w:rPr>
                <w:rFonts w:hint="default" w:ascii="Times New Roman" w:hAnsi="Times New Roman" w:eastAsia="宋体" w:cs="Times New Roman"/>
                <w:bCs/>
                <w:color w:val="auto"/>
                <w:sz w:val="24"/>
              </w:rPr>
              <w:t>μm；</w:t>
            </w:r>
          </w:p>
          <w:p>
            <w:pPr>
              <w:keepNext w:val="0"/>
              <w:keepLines w:val="0"/>
              <w:pageBreakBefore w:val="0"/>
              <w:widowControl/>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s——</w:t>
            </w:r>
            <w:r>
              <w:rPr>
                <w:rFonts w:hint="default" w:ascii="Times New Roman" w:hAnsi="Times New Roman" w:eastAsia="宋体" w:cs="Times New Roman"/>
                <w:bCs/>
                <w:color w:val="auto"/>
                <w:sz w:val="24"/>
                <w:lang w:eastAsia="zh-CN"/>
              </w:rPr>
              <w:t>总</w:t>
            </w:r>
            <w:r>
              <w:rPr>
                <w:rFonts w:hint="default" w:ascii="Times New Roman" w:hAnsi="Times New Roman" w:eastAsia="宋体" w:cs="Times New Roman"/>
                <w:bCs/>
                <w:color w:val="auto"/>
                <w:sz w:val="24"/>
              </w:rPr>
              <w:t>涂装面积（m</w:t>
            </w:r>
            <w:r>
              <w:rPr>
                <w:rFonts w:hint="default" w:ascii="Times New Roman" w:hAnsi="Times New Roman" w:eastAsia="宋体" w:cs="Times New Roman"/>
                <w:bCs/>
                <w:color w:val="auto"/>
                <w:sz w:val="24"/>
                <w:vertAlign w:val="superscript"/>
              </w:rPr>
              <w:t>2</w:t>
            </w:r>
            <w:r>
              <w:rPr>
                <w:rFonts w:hint="default" w:ascii="Times New Roman" w:hAnsi="Times New Roman" w:eastAsia="宋体" w:cs="Times New Roman"/>
                <w:bCs/>
                <w:color w:val="auto"/>
                <w:sz w:val="24"/>
              </w:rPr>
              <w:t>）</w:t>
            </w:r>
            <w:r>
              <w:rPr>
                <w:rFonts w:hint="default"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62000</w:t>
            </w:r>
            <w:r>
              <w:rPr>
                <w:rFonts w:hint="default" w:ascii="Times New Roman" w:hAnsi="Times New Roman" w:eastAsia="宋体" w:cs="Times New Roman"/>
                <w:bCs/>
                <w:color w:val="auto"/>
                <w:sz w:val="24"/>
                <w:lang w:val="en-US" w:eastAsia="zh-CN"/>
              </w:rPr>
              <w:t>m</w:t>
            </w:r>
            <w:r>
              <w:rPr>
                <w:rFonts w:hint="default" w:ascii="Times New Roman" w:hAnsi="Times New Roman" w:eastAsia="宋体" w:cs="Times New Roman"/>
                <w:bCs/>
                <w:color w:val="auto"/>
                <w:sz w:val="24"/>
                <w:vertAlign w:val="superscript"/>
                <w:lang w:val="en-US" w:eastAsia="zh-CN"/>
              </w:rPr>
              <w:t>2</w:t>
            </w:r>
            <w:r>
              <w:rPr>
                <w:rFonts w:hint="default" w:ascii="Times New Roman" w:hAnsi="Times New Roman" w:eastAsia="宋体" w:cs="Times New Roman"/>
                <w:bCs/>
                <w:color w:val="auto"/>
                <w:sz w:val="24"/>
              </w:rPr>
              <w:t>；</w:t>
            </w:r>
          </w:p>
          <w:p>
            <w:pPr>
              <w:keepNext w:val="0"/>
              <w:keepLines w:val="0"/>
              <w:pageBreakBefore w:val="0"/>
              <w:widowControl/>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η—该涂料占漆的比例（%），取100%；</w:t>
            </w:r>
          </w:p>
          <w:p>
            <w:pPr>
              <w:keepNext w:val="0"/>
              <w:keepLines w:val="0"/>
              <w:pageBreakBefore w:val="0"/>
              <w:widowControl/>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NV——工作漆中</w:t>
            </w:r>
            <w:r>
              <w:rPr>
                <w:rFonts w:hint="default" w:ascii="Times New Roman" w:hAnsi="Times New Roman" w:eastAsia="宋体" w:cs="Times New Roman"/>
                <w:bCs/>
                <w:color w:val="auto"/>
                <w:sz w:val="24"/>
                <w:lang w:eastAsia="zh-CN"/>
              </w:rPr>
              <w:t>平均</w:t>
            </w:r>
            <w:r>
              <w:rPr>
                <w:rFonts w:hint="default" w:ascii="Times New Roman" w:hAnsi="Times New Roman" w:eastAsia="宋体" w:cs="Times New Roman"/>
                <w:bCs/>
                <w:color w:val="auto"/>
                <w:sz w:val="24"/>
              </w:rPr>
              <w:t>体积固体份（%），</w:t>
            </w:r>
            <w:r>
              <w:rPr>
                <w:rFonts w:hint="default" w:ascii="Times New Roman" w:hAnsi="Times New Roman" w:eastAsia="宋体" w:cs="Times New Roman"/>
                <w:bCs/>
                <w:color w:val="auto"/>
                <w:sz w:val="24"/>
                <w:lang w:eastAsia="zh-CN"/>
              </w:rPr>
              <w:t>保守</w:t>
            </w:r>
            <w:r>
              <w:rPr>
                <w:rFonts w:hint="default" w:ascii="Times New Roman" w:hAnsi="Times New Roman" w:eastAsia="宋体" w:cs="Times New Roman"/>
                <w:bCs/>
                <w:color w:val="auto"/>
                <w:sz w:val="24"/>
              </w:rPr>
              <w:t>取</w:t>
            </w:r>
            <w:r>
              <w:rPr>
                <w:rFonts w:hint="eastAsia" w:ascii="Times New Roman" w:hAnsi="Times New Roman" w:eastAsia="宋体" w:cs="Times New Roman"/>
                <w:bCs/>
                <w:color w:val="auto"/>
                <w:sz w:val="24"/>
                <w:lang w:val="en-US" w:eastAsia="zh-CN"/>
              </w:rPr>
              <w:t>7</w:t>
            </w:r>
            <w:r>
              <w:rPr>
                <w:rFonts w:hint="default" w:ascii="Times New Roman" w:hAnsi="Times New Roman" w:eastAsia="宋体" w:cs="Times New Roman"/>
                <w:bCs/>
                <w:color w:val="auto"/>
                <w:sz w:val="24"/>
                <w:lang w:val="en-US" w:eastAsia="zh-CN"/>
              </w:rPr>
              <w:t>5</w:t>
            </w:r>
            <w:r>
              <w:rPr>
                <w:rFonts w:hint="default" w:ascii="Times New Roman" w:hAnsi="Times New Roman" w:eastAsia="宋体" w:cs="Times New Roman"/>
                <w:bCs/>
                <w:color w:val="auto"/>
                <w:sz w:val="24"/>
              </w:rPr>
              <w:t>%；</w:t>
            </w:r>
          </w:p>
          <w:p>
            <w:pPr>
              <w:pStyle w:val="56"/>
              <w:keepNext w:val="0"/>
              <w:keepLines w:val="0"/>
              <w:pageBreakBefore w:val="0"/>
              <w:kinsoku/>
              <w:wordWrap/>
              <w:overflowPunct/>
              <w:topLinePunct w:val="0"/>
              <w:bidi w:val="0"/>
              <w:snapToGrid/>
              <w:spacing w:line="360" w:lineRule="auto"/>
              <w:ind w:firstLine="1200" w:firstLineChars="5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sz w:val="24"/>
              </w:rPr>
              <w:t>ε——上漆率（%），</w:t>
            </w:r>
            <w:r>
              <w:rPr>
                <w:rFonts w:hint="default" w:ascii="Times New Roman" w:hAnsi="Times New Roman" w:eastAsia="宋体" w:cs="Times New Roman"/>
                <w:color w:val="auto"/>
                <w:spacing w:val="6"/>
                <w:sz w:val="24"/>
              </w:rPr>
              <w:t>本项目喷漆采用人工空气喷涂，上漆率保守取</w:t>
            </w:r>
            <w:r>
              <w:rPr>
                <w:rFonts w:hint="eastAsia" w:ascii="Times New Roman" w:hAnsi="Times New Roman" w:eastAsia="宋体" w:cs="Times New Roman"/>
                <w:color w:val="auto"/>
                <w:spacing w:val="6"/>
                <w:sz w:val="24"/>
                <w:lang w:val="en-US" w:eastAsia="zh-CN"/>
              </w:rPr>
              <w:t>8</w:t>
            </w:r>
            <w:r>
              <w:rPr>
                <w:rFonts w:hint="default" w:ascii="Times New Roman" w:hAnsi="Times New Roman" w:eastAsia="宋体" w:cs="Times New Roman"/>
                <w:color w:val="auto"/>
                <w:spacing w:val="6"/>
                <w:sz w:val="24"/>
              </w:rPr>
              <w:t>0%</w:t>
            </w:r>
            <w:r>
              <w:rPr>
                <w:rFonts w:hint="default" w:ascii="Times New Roman" w:hAnsi="Times New Roman" w:eastAsia="宋体" w:cs="Times New Roman"/>
                <w:color w:val="auto"/>
                <w:spacing w:val="6"/>
                <w:sz w:val="24"/>
                <w:lang w:eastAsia="zh-CN"/>
              </w:rPr>
              <w:t>。</w:t>
            </w:r>
          </w:p>
          <w:p>
            <w:pPr>
              <w:spacing w:line="480" w:lineRule="exact"/>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由此核算可知，本项目</w:t>
            </w:r>
            <w:r>
              <w:rPr>
                <w:rFonts w:hint="eastAsia" w:ascii="Times New Roman" w:hAnsi="Times New Roman" w:eastAsia="宋体" w:cs="Times New Roman"/>
                <w:color w:val="auto"/>
                <w:sz w:val="24"/>
                <w:lang w:val="en-US" w:eastAsia="zh-CN"/>
              </w:rPr>
              <w:t>使用的喷漆漆料为丙烯酸树脂漆，每一遍喷漆形成的漆膜厚度为</w:t>
            </w:r>
            <w:r>
              <w:rPr>
                <w:rFonts w:hint="default" w:ascii="Times New Roman" w:hAnsi="Times New Roman" w:eastAsia="宋体" w:cs="Times New Roman"/>
                <w:color w:val="auto"/>
                <w:sz w:val="24"/>
                <w:lang w:val="en-US" w:eastAsia="zh-CN"/>
              </w:rPr>
              <w:t>0.0</w:t>
            </w:r>
            <w:r>
              <w:rPr>
                <w:rFonts w:hint="eastAsia"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val="en-US" w:eastAsia="zh-CN"/>
              </w:rPr>
              <w:t>mm</w:t>
            </w:r>
            <w:r>
              <w:rPr>
                <w:rFonts w:hint="eastAsia" w:ascii="Times New Roman" w:hAnsi="Times New Roman" w:eastAsia="宋体" w:cs="Times New Roman"/>
                <w:color w:val="auto"/>
                <w:sz w:val="24"/>
                <w:lang w:val="en-US" w:eastAsia="zh-CN"/>
              </w:rPr>
              <w:t>（本项目喷漆构件需喷漆两遍，漆膜厚度共</w:t>
            </w:r>
            <w:r>
              <w:rPr>
                <w:rFonts w:hint="default" w:ascii="Times New Roman" w:hAnsi="Times New Roman" w:eastAsia="宋体" w:cs="Times New Roman"/>
                <w:color w:val="auto"/>
                <w:sz w:val="24"/>
                <w:lang w:val="en-US" w:eastAsia="zh-CN"/>
              </w:rPr>
              <w:t>0.1</w:t>
            </w:r>
            <w:r>
              <w:rPr>
                <w:rFonts w:hint="eastAsia"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lang w:val="en-US" w:eastAsia="zh-CN"/>
              </w:rPr>
              <w:t>mm</w:t>
            </w:r>
            <w:r>
              <w:rPr>
                <w:rFonts w:hint="eastAsia" w:ascii="Times New Roman" w:hAnsi="Times New Roman" w:eastAsia="宋体" w:cs="Times New Roman"/>
                <w:color w:val="auto"/>
                <w:sz w:val="24"/>
                <w:lang w:val="en-US" w:eastAsia="zh-CN"/>
              </w:rPr>
              <w:t>），油漆密度为</w:t>
            </w:r>
            <w:r>
              <w:rPr>
                <w:rFonts w:hint="default" w:ascii="Times New Roman" w:hAnsi="Times New Roman" w:eastAsia="宋体" w:cs="Times New Roman"/>
                <w:color w:val="auto"/>
                <w:sz w:val="24"/>
                <w:lang w:val="en-US" w:eastAsia="zh-CN"/>
              </w:rPr>
              <w:t>0.9kg/L</w:t>
            </w:r>
            <w:r>
              <w:rPr>
                <w:rFonts w:hint="eastAsia" w:ascii="Times New Roman" w:hAnsi="Times New Roman" w:eastAsia="宋体" w:cs="Times New Roman"/>
                <w:color w:val="auto"/>
                <w:sz w:val="24"/>
                <w:lang w:val="en-US" w:eastAsia="zh-CN"/>
              </w:rPr>
              <w:t>，喷漆面积约</w:t>
            </w:r>
            <w:r>
              <w:rPr>
                <w:rFonts w:hint="default" w:ascii="Times New Roman" w:hAnsi="Times New Roman" w:eastAsia="宋体" w:cs="Times New Roman"/>
                <w:color w:val="auto"/>
                <w:sz w:val="24"/>
                <w:lang w:val="en-US" w:eastAsia="zh-CN"/>
              </w:rPr>
              <w:t>62000m2</w:t>
            </w:r>
            <w:r>
              <w:rPr>
                <w:rFonts w:hint="eastAsia" w:ascii="Times New Roman" w:hAnsi="Times New Roman" w:eastAsia="宋体" w:cs="Times New Roman"/>
                <w:color w:val="auto"/>
                <w:sz w:val="24"/>
                <w:lang w:val="en-US" w:eastAsia="zh-CN"/>
              </w:rPr>
              <w:t>，其中防锈漆中固体不挥发份含量合约为</w:t>
            </w:r>
            <w:r>
              <w:rPr>
                <w:rFonts w:hint="default" w:ascii="Times New Roman" w:hAnsi="Times New Roman" w:eastAsia="宋体" w:cs="Times New Roman"/>
                <w:color w:val="auto"/>
                <w:sz w:val="24"/>
                <w:lang w:val="en-US" w:eastAsia="zh-CN"/>
              </w:rPr>
              <w:t>75%</w:t>
            </w:r>
            <w:r>
              <w:rPr>
                <w:rFonts w:hint="eastAsia" w:ascii="Times New Roman" w:hAnsi="Times New Roman" w:eastAsia="宋体" w:cs="Times New Roman"/>
                <w:color w:val="auto"/>
                <w:sz w:val="24"/>
                <w:lang w:val="en-US" w:eastAsia="zh-CN"/>
              </w:rPr>
              <w:t>，共上一层防锈漆，上漆率为</w:t>
            </w:r>
            <w:r>
              <w:rPr>
                <w:rFonts w:hint="default" w:ascii="Times New Roman" w:hAnsi="Times New Roman" w:eastAsia="宋体" w:cs="Times New Roman"/>
                <w:color w:val="auto"/>
                <w:sz w:val="24"/>
                <w:lang w:val="en-US" w:eastAsia="zh-CN"/>
              </w:rPr>
              <w:t>80%</w:t>
            </w:r>
            <w:r>
              <w:rPr>
                <w:rFonts w:hint="eastAsia" w:ascii="Times New Roman" w:hAnsi="Times New Roman" w:eastAsia="宋体" w:cs="Times New Roman"/>
                <w:color w:val="auto"/>
                <w:sz w:val="24"/>
                <w:lang w:val="en-US" w:eastAsia="zh-CN"/>
              </w:rPr>
              <w:t>，则项目至少需要防锈漆9.3</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，本项目设定用漆量9.3</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合理。</w:t>
            </w:r>
          </w:p>
          <w:p>
            <w:pPr>
              <w:spacing w:line="48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4）漆料平衡分析</w:t>
            </w:r>
          </w:p>
          <w:p>
            <w:pPr>
              <w:spacing w:line="48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本项目生产过程中所消耗漆料主要包括</w:t>
            </w:r>
            <w:r>
              <w:rPr>
                <w:rFonts w:hint="eastAsia" w:ascii="Times New Roman" w:hAnsi="Times New Roman" w:eastAsia="宋体" w:cs="Times New Roman"/>
                <w:color w:val="auto"/>
                <w:sz w:val="24"/>
                <w:lang w:val="en-US" w:eastAsia="zh-CN"/>
              </w:rPr>
              <w:t>丙烯酸树脂油漆</w:t>
            </w:r>
            <w:r>
              <w:rPr>
                <w:rFonts w:hint="default" w:ascii="Times New Roman" w:hAnsi="Times New Roman" w:eastAsia="宋体" w:cs="Times New Roman"/>
                <w:color w:val="auto"/>
                <w:sz w:val="24"/>
                <w:lang w:val="en-US" w:eastAsia="zh-CN"/>
              </w:rPr>
              <w:t>等，均为经过稀释剂复配后的成品。由漆料供应厂家提供的资料，</w:t>
            </w:r>
            <w:r>
              <w:rPr>
                <w:rFonts w:hint="eastAsia" w:ascii="Times New Roman" w:hAnsi="Times New Roman" w:eastAsia="宋体" w:cs="Times New Roman"/>
                <w:color w:val="auto"/>
                <w:sz w:val="24"/>
                <w:lang w:val="en-US" w:eastAsia="zh-CN"/>
              </w:rPr>
              <w:t>丙烯酸树脂油漆</w:t>
            </w:r>
            <w:r>
              <w:rPr>
                <w:rFonts w:hint="default" w:ascii="Times New Roman" w:hAnsi="Times New Roman" w:eastAsia="宋体" w:cs="Times New Roman"/>
                <w:color w:val="auto"/>
                <w:sz w:val="24"/>
                <w:lang w:val="en-US" w:eastAsia="zh-CN"/>
              </w:rPr>
              <w:t>二甲苯含量在</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左右</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稀释剂</w:t>
            </w:r>
            <w:r>
              <w:rPr>
                <w:rFonts w:hint="default" w:ascii="Times New Roman" w:hAnsi="Times New Roman" w:eastAsia="宋体" w:cs="Times New Roman"/>
                <w:color w:val="auto"/>
                <w:sz w:val="24"/>
                <w:lang w:val="en-US" w:eastAsia="zh-CN"/>
              </w:rPr>
              <w:t>二甲苯含量</w:t>
            </w:r>
            <w:r>
              <w:rPr>
                <w:rFonts w:hint="eastAsia" w:ascii="Times New Roman" w:hAnsi="Times New Roman" w:eastAsia="宋体" w:cs="Times New Roman"/>
                <w:color w:val="auto"/>
                <w:sz w:val="24"/>
                <w:lang w:val="en-US" w:eastAsia="zh-CN"/>
              </w:rPr>
              <w:t>约为15</w:t>
            </w:r>
            <w:r>
              <w:rPr>
                <w:rFonts w:hint="default" w:ascii="Times New Roman" w:hAnsi="Times New Roman" w:eastAsia="宋体" w:cs="Times New Roman"/>
                <w:color w:val="auto"/>
                <w:sz w:val="24"/>
                <w:lang w:val="en-US" w:eastAsia="zh-CN"/>
              </w:rPr>
              <w:t>%，本次评价</w:t>
            </w:r>
            <w:r>
              <w:rPr>
                <w:rFonts w:hint="eastAsia" w:ascii="Times New Roman" w:hAnsi="Times New Roman" w:eastAsia="宋体" w:cs="Times New Roman"/>
                <w:color w:val="auto"/>
                <w:sz w:val="24"/>
                <w:lang w:val="en-US" w:eastAsia="zh-CN"/>
              </w:rPr>
              <w:t>结合各类漆料用量</w:t>
            </w:r>
            <w:r>
              <w:rPr>
                <w:rFonts w:hint="default" w:ascii="Times New Roman" w:hAnsi="Times New Roman" w:eastAsia="宋体" w:cs="Times New Roman"/>
                <w:color w:val="auto"/>
                <w:sz w:val="24"/>
                <w:lang w:val="en-US" w:eastAsia="zh-CN"/>
              </w:rPr>
              <w:t>保守按20%进行核算，喷涂、烘干过程中有机废气经“干式过滤+活性炭吸附/脱附+催化燃烧”净化系统处理后由15m排气筒排放；喷涂、烘干过程中挥发性有机物释放比例按</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val="en-US" w:eastAsia="zh-CN"/>
              </w:rPr>
              <w:t>进行核算（烘干作业温度为40℃），喷漆房废气收集效率≥9</w:t>
            </w:r>
            <w:r>
              <w:rPr>
                <w:rFonts w:hint="eastAsia"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val="en-US" w:eastAsia="zh-CN"/>
              </w:rPr>
              <w:t>%，漆雾颗粒净化效率≥</w:t>
            </w:r>
            <w:r>
              <w:rPr>
                <w:rFonts w:hint="eastAsia" w:ascii="Times New Roman" w:hAnsi="Times New Roman" w:eastAsia="宋体" w:cs="Times New Roman"/>
                <w:color w:val="auto"/>
                <w:sz w:val="24"/>
                <w:lang w:val="en-US" w:eastAsia="zh-CN"/>
              </w:rPr>
              <w:t>80</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活性炭吸附/脱附+催化燃烧去除率</w:t>
            </w:r>
            <w:r>
              <w:rPr>
                <w:rFonts w:hint="default" w:ascii="Times New Roman" w:hAnsi="Times New Roman" w:eastAsia="宋体" w:cs="Times New Roman"/>
                <w:color w:val="auto"/>
                <w:sz w:val="24"/>
                <w:lang w:val="en-US" w:eastAsia="zh-CN"/>
              </w:rPr>
              <w:t>≥9</w:t>
            </w:r>
            <w:r>
              <w:rPr>
                <w:rFonts w:hint="eastAsia"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lang w:val="en-US" w:eastAsia="zh-CN"/>
              </w:rPr>
              <w:t>%。据此，核算出本项目喷漆房运行过程中的漆料平衡情况见表</w:t>
            </w:r>
            <w:r>
              <w:rPr>
                <w:rFonts w:hint="eastAsia"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color w:val="auto"/>
                <w:spacing w:val="4"/>
                <w:szCs w:val="21"/>
              </w:rPr>
            </w:pPr>
            <w:r>
              <w:rPr>
                <w:rFonts w:hint="default" w:ascii="Times New Roman" w:hAnsi="Times New Roman" w:eastAsia="宋体" w:cs="Times New Roman"/>
                <w:b/>
                <w:color w:val="auto"/>
                <w:spacing w:val="4"/>
                <w:szCs w:val="21"/>
              </w:rPr>
              <w:t>表</w:t>
            </w:r>
            <w:r>
              <w:rPr>
                <w:rFonts w:hint="eastAsia" w:ascii="Times New Roman" w:hAnsi="Times New Roman" w:eastAsia="宋体" w:cs="Times New Roman"/>
                <w:b/>
                <w:color w:val="auto"/>
                <w:spacing w:val="4"/>
                <w:szCs w:val="21"/>
                <w:lang w:val="en-US" w:eastAsia="zh-CN"/>
              </w:rPr>
              <w:t>9</w:t>
            </w:r>
            <w:r>
              <w:rPr>
                <w:rFonts w:hint="default" w:ascii="Times New Roman" w:hAnsi="Times New Roman" w:eastAsia="宋体" w:cs="Times New Roman"/>
                <w:b/>
                <w:color w:val="auto"/>
                <w:spacing w:val="4"/>
                <w:szCs w:val="21"/>
              </w:rPr>
              <w:t>本项目</w:t>
            </w:r>
            <w:r>
              <w:rPr>
                <w:rFonts w:hint="default" w:ascii="Times New Roman" w:hAnsi="Times New Roman" w:eastAsia="宋体" w:cs="Times New Roman"/>
                <w:b/>
                <w:color w:val="auto"/>
                <w:spacing w:val="4"/>
                <w:szCs w:val="21"/>
                <w:lang w:val="en-US" w:eastAsia="zh-CN"/>
              </w:rPr>
              <w:t>喷漆房</w:t>
            </w:r>
            <w:r>
              <w:rPr>
                <w:rFonts w:hint="default" w:ascii="Times New Roman" w:hAnsi="Times New Roman" w:eastAsia="宋体" w:cs="Times New Roman"/>
                <w:b/>
                <w:color w:val="auto"/>
                <w:spacing w:val="4"/>
                <w:szCs w:val="21"/>
              </w:rPr>
              <w:t>生产过程中</w:t>
            </w:r>
            <w:r>
              <w:rPr>
                <w:rFonts w:hint="default" w:ascii="Times New Roman" w:hAnsi="Times New Roman" w:eastAsia="宋体" w:cs="Times New Roman"/>
                <w:b/>
                <w:color w:val="auto"/>
                <w:spacing w:val="4"/>
                <w:szCs w:val="21"/>
                <w:lang w:eastAsia="zh-CN"/>
              </w:rPr>
              <w:t>漆</w:t>
            </w:r>
            <w:r>
              <w:rPr>
                <w:rFonts w:hint="default" w:ascii="Times New Roman" w:hAnsi="Times New Roman" w:eastAsia="宋体" w:cs="Times New Roman"/>
                <w:b/>
                <w:color w:val="auto"/>
                <w:spacing w:val="4"/>
                <w:szCs w:val="21"/>
              </w:rPr>
              <w:t>料平衡分析</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31"/>
              <w:gridCol w:w="1696"/>
              <w:gridCol w:w="1131"/>
              <w:gridCol w:w="999"/>
              <w:gridCol w:w="846"/>
              <w:gridCol w:w="1589"/>
              <w:gridCol w:w="1156"/>
              <w:gridCol w:w="9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2470" w:type="pct"/>
                  <w:gridSpan w:val="4"/>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物料进入</w:t>
                  </w:r>
                </w:p>
              </w:tc>
              <w:tc>
                <w:tcPr>
                  <w:tcW w:w="2529" w:type="pct"/>
                  <w:gridSpan w:val="4"/>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物料输出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序号</w:t>
                  </w:r>
                </w:p>
              </w:tc>
              <w:tc>
                <w:tcPr>
                  <w:tcW w:w="940"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名称</w:t>
                  </w:r>
                </w:p>
              </w:tc>
              <w:tc>
                <w:tcPr>
                  <w:tcW w:w="627"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数量（t）</w:t>
                  </w:r>
                </w:p>
              </w:tc>
              <w:tc>
                <w:tcPr>
                  <w:tcW w:w="552"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占比（</w:t>
                  </w:r>
                  <w:r>
                    <w:rPr>
                      <w:rFonts w:hint="default" w:ascii="Times New Roman" w:hAnsi="Times New Roman" w:eastAsia="宋体" w:cs="Times New Roman"/>
                      <w:bCs/>
                      <w:color w:val="auto"/>
                      <w:kern w:val="0"/>
                      <w:sz w:val="21"/>
                      <w:szCs w:val="21"/>
                    </w:rPr>
                    <w:t>%）</w:t>
                  </w:r>
                </w:p>
              </w:tc>
              <w:tc>
                <w:tcPr>
                  <w:tcW w:w="1350" w:type="pct"/>
                  <w:gridSpan w:val="2"/>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数量（</w:t>
                  </w:r>
                  <w:r>
                    <w:rPr>
                      <w:rFonts w:hint="default" w:ascii="Times New Roman" w:hAnsi="Times New Roman" w:eastAsia="宋体" w:cs="Times New Roman"/>
                      <w:bCs/>
                      <w:color w:val="auto"/>
                      <w:kern w:val="0"/>
                      <w:sz w:val="21"/>
                      <w:szCs w:val="21"/>
                    </w:rPr>
                    <w:t>t）</w:t>
                  </w:r>
                </w:p>
              </w:tc>
              <w:tc>
                <w:tcPr>
                  <w:tcW w:w="538"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占比（</w:t>
                  </w:r>
                  <w:r>
                    <w:rPr>
                      <w:rFonts w:hint="default" w:ascii="Times New Roman" w:hAnsi="Times New Roman" w:eastAsia="宋体" w:cs="Times New Roman"/>
                      <w:bCs/>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1</w:t>
                  </w:r>
                </w:p>
              </w:tc>
              <w:tc>
                <w:tcPr>
                  <w:tcW w:w="940"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二甲苯</w:t>
                  </w:r>
                </w:p>
              </w:tc>
              <w:tc>
                <w:tcPr>
                  <w:tcW w:w="627"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0.084</w:t>
                  </w:r>
                </w:p>
              </w:tc>
              <w:tc>
                <w:tcPr>
                  <w:tcW w:w="552"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0.9</w:t>
                  </w:r>
                </w:p>
              </w:tc>
              <w:tc>
                <w:tcPr>
                  <w:tcW w:w="469"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产品</w:t>
                  </w: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参与固化</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5.88</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63.22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2</w:t>
                  </w:r>
                </w:p>
              </w:tc>
              <w:tc>
                <w:tcPr>
                  <w:tcW w:w="940"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其他有机溶剂</w:t>
                  </w:r>
                </w:p>
              </w:tc>
              <w:tc>
                <w:tcPr>
                  <w:tcW w:w="627"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2.241</w:t>
                  </w:r>
                </w:p>
              </w:tc>
              <w:tc>
                <w:tcPr>
                  <w:tcW w:w="552"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24.1</w:t>
                  </w:r>
                </w:p>
              </w:tc>
              <w:tc>
                <w:tcPr>
                  <w:tcW w:w="469"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截留漆渣</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1.06</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3</w:t>
                  </w:r>
                </w:p>
              </w:tc>
              <w:tc>
                <w:tcPr>
                  <w:tcW w:w="940"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固体份</w:t>
                  </w:r>
                </w:p>
              </w:tc>
              <w:tc>
                <w:tcPr>
                  <w:tcW w:w="627"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6.975</w:t>
                  </w:r>
                </w:p>
              </w:tc>
              <w:tc>
                <w:tcPr>
                  <w:tcW w:w="552"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r>
                    <w:rPr>
                      <w:rFonts w:hint="default" w:ascii="Times New Roman" w:hAnsi="Times New Roman" w:eastAsia="宋体" w:cs="Times New Roman"/>
                      <w:color w:val="auto"/>
                      <w:sz w:val="21"/>
                      <w:szCs w:val="21"/>
                      <w:lang w:val="en-US" w:eastAsia="zh-CN"/>
                    </w:rPr>
                    <w:t>.00</w:t>
                  </w:r>
                </w:p>
              </w:tc>
              <w:tc>
                <w:tcPr>
                  <w:tcW w:w="469" w:type="pct"/>
                  <w:vMerge w:val="restar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有组织</w:t>
                  </w:r>
                  <w:r>
                    <w:rPr>
                      <w:rFonts w:hint="default" w:ascii="Times New Roman" w:hAnsi="Times New Roman" w:eastAsia="宋体" w:cs="Times New Roman"/>
                      <w:color w:val="auto"/>
                      <w:sz w:val="21"/>
                      <w:szCs w:val="21"/>
                    </w:rPr>
                    <w:t>废气</w:t>
                  </w: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非甲烷总烃（含二甲苯）</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0.194</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4</w:t>
                  </w:r>
                </w:p>
              </w:tc>
              <w:tc>
                <w:tcPr>
                  <w:tcW w:w="940"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27"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52"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69" w:type="pct"/>
                  <w:vMerge w:val="continue"/>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颗粒物</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265</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w:t>
                  </w:r>
                </w:p>
              </w:tc>
              <w:tc>
                <w:tcPr>
                  <w:tcW w:w="940"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27"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52"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69" w:type="pct"/>
                  <w:vMerge w:val="restar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无组织废气</w:t>
                  </w: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非甲烷总烃（含二甲苯）</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0.101</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sz w:val="21"/>
                      <w:szCs w:val="21"/>
                      <w:lang w:val="en-US" w:eastAsia="zh-CN"/>
                    </w:rPr>
                    <w:t>6</w:t>
                  </w:r>
                </w:p>
              </w:tc>
              <w:tc>
                <w:tcPr>
                  <w:tcW w:w="940"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27"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52"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69" w:type="pct"/>
                  <w:vMerge w:val="continue"/>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颗粒物</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070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w:t>
                  </w:r>
                </w:p>
              </w:tc>
              <w:tc>
                <w:tcPr>
                  <w:tcW w:w="940"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627"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52" w:type="pct"/>
                  <w:noWrap w:val="0"/>
                  <w:vAlign w:val="center"/>
                </w:tcPr>
                <w:p>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469"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燃烧治理</w:t>
                  </w:r>
                </w:p>
              </w:tc>
              <w:tc>
                <w:tcPr>
                  <w:tcW w:w="881" w:type="pct"/>
                  <w:noWrap w:val="0"/>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非甲烷总烃（含二甲苯）</w:t>
                  </w: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1.73</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34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940"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合计</w:t>
                  </w:r>
                </w:p>
              </w:tc>
              <w:tc>
                <w:tcPr>
                  <w:tcW w:w="627"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w:t>
                  </w:r>
                </w:p>
              </w:tc>
              <w:tc>
                <w:tcPr>
                  <w:tcW w:w="552"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100.00</w:t>
                  </w:r>
                </w:p>
              </w:tc>
              <w:tc>
                <w:tcPr>
                  <w:tcW w:w="469"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合计</w:t>
                  </w:r>
                </w:p>
              </w:tc>
              <w:tc>
                <w:tcPr>
                  <w:tcW w:w="88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rPr>
                  </w:pPr>
                </w:p>
              </w:tc>
              <w:tc>
                <w:tcPr>
                  <w:tcW w:w="641"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w:t>
                  </w:r>
                </w:p>
              </w:tc>
              <w:tc>
                <w:tcPr>
                  <w:tcW w:w="538"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bl>
          <w:p>
            <w:pPr>
              <w:spacing w:line="48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（9）水平衡分析</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1）给水水源</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olor w:val="auto"/>
                <w:sz w:val="24"/>
              </w:rPr>
              <w:t>本项目用水由</w:t>
            </w:r>
            <w:r>
              <w:rPr>
                <w:rFonts w:hint="eastAsia" w:ascii="Times New Roman" w:hAnsi="Times New Roman" w:eastAsia="宋体"/>
                <w:color w:val="auto"/>
                <w:kern w:val="0"/>
                <w:sz w:val="24"/>
              </w:rPr>
              <w:t>富资垣村</w:t>
            </w:r>
            <w:r>
              <w:rPr>
                <w:rFonts w:ascii="Times New Roman" w:hAnsi="Times New Roman" w:eastAsia="宋体"/>
                <w:color w:val="auto"/>
                <w:sz w:val="24"/>
              </w:rPr>
              <w:t>供给，用水主要为生产用水、绿化用水、职工生活用水</w:t>
            </w:r>
            <w:r>
              <w:rPr>
                <w:rFonts w:ascii="Times New Roman" w:hAnsi="Times New Roman" w:eastAsia="宋体" w:cs="Times New Roman"/>
                <w:color w:val="auto"/>
                <w:sz w:val="24"/>
                <w:szCs w:val="24"/>
              </w:rPr>
              <w:t>。</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2）用水水量</w:t>
            </w:r>
          </w:p>
          <w:p>
            <w:pPr>
              <w:widowControl/>
              <w:adjustRightInd w:val="0"/>
              <w:snapToGrid w:val="0"/>
              <w:spacing w:line="480" w:lineRule="exact"/>
              <w:ind w:firstLine="480" w:firstLineChars="200"/>
              <w:rPr>
                <w:rFonts w:hint="eastAsia" w:ascii="Times New Roman" w:hAnsi="Times New Roman" w:eastAsia="宋体"/>
                <w:bCs/>
                <w:color w:val="auto"/>
                <w:sz w:val="24"/>
              </w:rPr>
            </w:pPr>
            <w:r>
              <w:rPr>
                <w:rFonts w:hint="eastAsia" w:ascii="Times New Roman" w:hAnsi="Times New Roman" w:eastAsia="宋体" w:cs="Times New Roman"/>
                <w:color w:val="auto"/>
                <w:sz w:val="24"/>
                <w:szCs w:val="24"/>
              </w:rPr>
              <w:t>本项目给水系统主要服务于职工生活用水、生产车间及卫生清理用水。</w:t>
            </w:r>
            <w:r>
              <w:rPr>
                <w:rFonts w:hint="eastAsia" w:ascii="Times New Roman" w:hAnsi="Times New Roman" w:eastAsia="宋体" w:cs="Times New Roman"/>
                <w:color w:val="auto"/>
                <w:sz w:val="24"/>
                <w:szCs w:val="24"/>
                <w:lang w:eastAsia="zh-CN"/>
              </w:rPr>
              <w:t>参考</w:t>
            </w:r>
            <w:r>
              <w:rPr>
                <w:rFonts w:hint="eastAsia" w:ascii="Times New Roman" w:hAnsi="Times New Roman" w:eastAsia="宋体" w:cs="Times New Roman"/>
                <w:color w:val="auto"/>
                <w:sz w:val="24"/>
                <w:szCs w:val="24"/>
              </w:rPr>
              <w:t>《山西省用水定额》（DB14/T1049.4—2021）：</w:t>
            </w:r>
            <w:r>
              <w:rPr>
                <w:rFonts w:hint="eastAsia" w:ascii="Times New Roman" w:hAnsi="Times New Roman" w:eastAsia="宋体" w:cs="Times New Roman"/>
                <w:color w:val="auto"/>
                <w:sz w:val="24"/>
                <w:szCs w:val="24"/>
                <w:lang w:eastAsia="zh-CN"/>
              </w:rPr>
              <w:t>职工生活</w:t>
            </w:r>
            <w:r>
              <w:rPr>
                <w:rFonts w:hint="eastAsia" w:ascii="Times New Roman" w:hAnsi="Times New Roman" w:eastAsia="宋体" w:cs="Times New Roman"/>
                <w:color w:val="auto"/>
                <w:sz w:val="24"/>
                <w:szCs w:val="24"/>
              </w:rPr>
              <w:t>用水定额按</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0L/(p·d)计算，</w:t>
            </w:r>
            <w:r>
              <w:rPr>
                <w:rFonts w:ascii="Times New Roman" w:hAnsi="Times New Roman" w:eastAsia="宋体" w:cs="Times New Roman"/>
                <w:color w:val="auto"/>
                <w:sz w:val="24"/>
                <w:szCs w:val="24"/>
              </w:rPr>
              <w:t>见表</w:t>
            </w:r>
            <w:r>
              <w:rPr>
                <w:rFonts w:hint="eastAsia" w:ascii="Times New Roman" w:hAnsi="Times New Roman" w:eastAsia="宋体" w:cs="Times New Roman"/>
                <w:color w:val="auto"/>
                <w:sz w:val="24"/>
                <w:szCs w:val="24"/>
                <w:lang w:val="en-US" w:eastAsia="zh-CN"/>
              </w:rPr>
              <w:t>10</w:t>
            </w:r>
            <w:r>
              <w:rPr>
                <w:rFonts w:ascii="Times New Roman" w:hAnsi="Times New Roman" w:eastAsia="宋体"/>
                <w:color w:val="auto"/>
                <w:sz w:val="24"/>
                <w:szCs w:val="28"/>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color w:val="auto"/>
                <w:spacing w:val="4"/>
                <w:szCs w:val="21"/>
              </w:rPr>
            </w:pPr>
            <w:r>
              <w:rPr>
                <w:rFonts w:hint="default" w:ascii="Times New Roman" w:hAnsi="Times New Roman" w:eastAsia="宋体" w:cs="Times New Roman"/>
                <w:b/>
                <w:color w:val="auto"/>
                <w:spacing w:val="4"/>
                <w:szCs w:val="21"/>
              </w:rPr>
              <w:t>表</w:t>
            </w:r>
            <w:r>
              <w:rPr>
                <w:rFonts w:hint="eastAsia" w:ascii="Times New Roman" w:hAnsi="Times New Roman" w:eastAsia="宋体" w:cs="Times New Roman"/>
                <w:b/>
                <w:color w:val="auto"/>
                <w:spacing w:val="4"/>
                <w:szCs w:val="21"/>
                <w:lang w:val="en-US" w:eastAsia="zh-CN"/>
              </w:rPr>
              <w:t>10</w:t>
            </w:r>
            <w:r>
              <w:rPr>
                <w:rFonts w:hint="default" w:ascii="Times New Roman" w:hAnsi="Times New Roman" w:eastAsia="宋体" w:cs="Times New Roman"/>
                <w:b/>
                <w:color w:val="auto"/>
                <w:spacing w:val="4"/>
                <w:szCs w:val="21"/>
              </w:rPr>
              <w:t>项目建成后用水量一览表</w:t>
            </w:r>
          </w:p>
          <w:tbl>
            <w:tblPr>
              <w:tblStyle w:val="20"/>
              <w:tblW w:w="4994" w:type="pct"/>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610"/>
              <w:gridCol w:w="2097"/>
              <w:gridCol w:w="1557"/>
              <w:gridCol w:w="1405"/>
              <w:gridCol w:w="1448"/>
              <w:gridCol w:w="1905"/>
            </w:tblGrid>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53"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r>
                    <w:rPr>
                      <w:rFonts w:ascii="Times New Roman" w:hAnsi="Times New Roman" w:eastAsia="宋体"/>
                      <w:color w:val="auto"/>
                      <w:spacing w:val="2"/>
                      <w:kern w:val="20"/>
                      <w:position w:val="2"/>
                      <w:sz w:val="21"/>
                      <w:szCs w:val="21"/>
                    </w:rPr>
                    <w:t>顺序</w:t>
                  </w:r>
                </w:p>
              </w:tc>
              <w:tc>
                <w:tcPr>
                  <w:tcW w:w="1161" w:type="pct"/>
                  <w:noWrap w:val="0"/>
                  <w:tcMar>
                    <w:left w:w="0" w:type="dxa"/>
                    <w:right w:w="0" w:type="dxa"/>
                  </w:tcMar>
                  <w:vAlign w:val="center"/>
                </w:tcPr>
                <w:p>
                  <w:pPr>
                    <w:pStyle w:val="12"/>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用水项目</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r>
                    <w:rPr>
                      <w:rFonts w:ascii="Times New Roman" w:hAnsi="Times New Roman" w:eastAsia="宋体"/>
                      <w:color w:val="auto"/>
                      <w:spacing w:val="2"/>
                      <w:kern w:val="20"/>
                      <w:position w:val="2"/>
                      <w:sz w:val="21"/>
                      <w:szCs w:val="21"/>
                    </w:rPr>
                    <w:t>用水人数（人）</w:t>
                  </w:r>
                </w:p>
              </w:tc>
              <w:tc>
                <w:tcPr>
                  <w:tcW w:w="778" w:type="pct"/>
                  <w:noWrap w:val="0"/>
                  <w:tcMar>
                    <w:left w:w="0" w:type="dxa"/>
                    <w:right w:w="0" w:type="dxa"/>
                  </w:tcMar>
                  <w:vAlign w:val="center"/>
                </w:tcPr>
                <w:p>
                  <w:pPr>
                    <w:pStyle w:val="12"/>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用水标准</w:t>
                  </w: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r>
                    <w:rPr>
                      <w:rFonts w:ascii="Times New Roman" w:hAnsi="Times New Roman" w:eastAsia="宋体"/>
                      <w:color w:val="auto"/>
                      <w:spacing w:val="2"/>
                      <w:kern w:val="20"/>
                      <w:position w:val="2"/>
                      <w:sz w:val="21"/>
                      <w:szCs w:val="21"/>
                    </w:rPr>
                    <w:t>用水量（m</w:t>
                  </w:r>
                  <w:r>
                    <w:rPr>
                      <w:rFonts w:ascii="Times New Roman" w:hAnsi="Times New Roman" w:eastAsia="宋体"/>
                      <w:color w:val="auto"/>
                      <w:spacing w:val="2"/>
                      <w:kern w:val="20"/>
                      <w:position w:val="2"/>
                      <w:sz w:val="21"/>
                      <w:szCs w:val="21"/>
                      <w:vertAlign w:val="superscript"/>
                    </w:rPr>
                    <w:t>3</w:t>
                  </w:r>
                  <w:r>
                    <w:rPr>
                      <w:rFonts w:ascii="Times New Roman" w:hAnsi="Times New Roman" w:eastAsia="宋体"/>
                      <w:color w:val="auto"/>
                      <w:spacing w:val="2"/>
                      <w:kern w:val="20"/>
                      <w:position w:val="2"/>
                      <w:sz w:val="21"/>
                      <w:szCs w:val="21"/>
                    </w:rPr>
                    <w:t>/d）</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r>
                    <w:rPr>
                      <w:rFonts w:ascii="Times New Roman" w:hAnsi="Times New Roman" w:eastAsia="宋体"/>
                      <w:color w:val="auto"/>
                      <w:spacing w:val="2"/>
                      <w:kern w:val="20"/>
                      <w:position w:val="2"/>
                      <w:sz w:val="21"/>
                      <w:szCs w:val="21"/>
                    </w:rPr>
                    <w:t>备注</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3"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r>
                    <w:rPr>
                      <w:rFonts w:ascii="Times New Roman" w:hAnsi="Times New Roman" w:eastAsia="宋体"/>
                      <w:color w:val="auto"/>
                      <w:spacing w:val="2"/>
                      <w:kern w:val="20"/>
                      <w:position w:val="2"/>
                      <w:sz w:val="21"/>
                      <w:szCs w:val="21"/>
                    </w:rPr>
                    <w:t>1</w:t>
                  </w:r>
                </w:p>
              </w:tc>
              <w:tc>
                <w:tcPr>
                  <w:tcW w:w="1161"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职工生活用水</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pacing w:val="2"/>
                      <w:kern w:val="20"/>
                      <w:position w:val="2"/>
                      <w:sz w:val="21"/>
                      <w:szCs w:val="21"/>
                    </w:rPr>
                  </w:pPr>
                  <w:r>
                    <w:rPr>
                      <w:rFonts w:hint="eastAsia" w:ascii="Times New Roman" w:hAnsi="Times New Roman" w:eastAsia="宋体"/>
                      <w:color w:val="auto"/>
                      <w:spacing w:val="2"/>
                      <w:kern w:val="20"/>
                      <w:position w:val="2"/>
                      <w:sz w:val="21"/>
                      <w:szCs w:val="21"/>
                      <w:lang w:val="en-US" w:eastAsia="zh-CN"/>
                    </w:rPr>
                    <w:t>5</w:t>
                  </w:r>
                  <w:r>
                    <w:rPr>
                      <w:rFonts w:hint="eastAsia" w:ascii="Times New Roman" w:hAnsi="Times New Roman" w:eastAsia="宋体"/>
                      <w:color w:val="auto"/>
                      <w:spacing w:val="2"/>
                      <w:kern w:val="20"/>
                      <w:position w:val="2"/>
                      <w:sz w:val="21"/>
                      <w:szCs w:val="21"/>
                    </w:rPr>
                    <w:t>0</w:t>
                  </w:r>
                </w:p>
              </w:tc>
              <w:tc>
                <w:tcPr>
                  <w:tcW w:w="778" w:type="pct"/>
                  <w:noWrap/>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olor w:val="auto"/>
                      <w:spacing w:val="2"/>
                      <w:kern w:val="20"/>
                      <w:position w:val="2"/>
                      <w:sz w:val="21"/>
                      <w:szCs w:val="21"/>
                      <w:lang w:eastAsia="zh-CN"/>
                    </w:rPr>
                  </w:pPr>
                  <w:r>
                    <w:rPr>
                      <w:rFonts w:hint="eastAsia" w:ascii="Times New Roman" w:hAnsi="Times New Roman" w:eastAsia="宋体"/>
                      <w:color w:val="auto"/>
                      <w:sz w:val="21"/>
                      <w:szCs w:val="21"/>
                      <w:lang w:val="en-US" w:eastAsia="zh-CN"/>
                    </w:rPr>
                    <w:t>70</w:t>
                  </w:r>
                  <w:r>
                    <w:rPr>
                      <w:rFonts w:ascii="Times New Roman" w:hAnsi="Times New Roman" w:eastAsia="宋体"/>
                      <w:color w:val="auto"/>
                      <w:sz w:val="21"/>
                      <w:szCs w:val="21"/>
                    </w:rPr>
                    <w:t>L/人·</w:t>
                  </w:r>
                  <w:r>
                    <w:rPr>
                      <w:rFonts w:hint="eastAsia" w:ascii="Times New Roman" w:hAnsi="Times New Roman" w:eastAsia="宋体"/>
                      <w:color w:val="auto"/>
                      <w:sz w:val="21"/>
                      <w:szCs w:val="21"/>
                      <w:lang w:val="en-US" w:eastAsia="zh-CN"/>
                    </w:rPr>
                    <w:t>天</w:t>
                  </w: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olor w:val="auto"/>
                      <w:spacing w:val="2"/>
                      <w:kern w:val="20"/>
                      <w:position w:val="2"/>
                      <w:sz w:val="21"/>
                      <w:szCs w:val="21"/>
                      <w:lang w:val="en-US" w:eastAsia="zh-CN"/>
                    </w:rPr>
                  </w:pPr>
                  <w:r>
                    <w:rPr>
                      <w:rFonts w:hint="eastAsia" w:ascii="Times New Roman" w:hAnsi="Times New Roman" w:eastAsia="宋体"/>
                      <w:color w:val="auto"/>
                      <w:spacing w:val="2"/>
                      <w:kern w:val="20"/>
                      <w:position w:val="2"/>
                      <w:sz w:val="21"/>
                      <w:szCs w:val="21"/>
                      <w:lang w:val="en-US" w:eastAsia="zh-CN"/>
                    </w:rPr>
                    <w:t>3.5</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lang w:eastAsia="zh-CN"/>
                    </w:rPr>
                  </w:pPr>
                  <w:r>
                    <w:rPr>
                      <w:rFonts w:hint="eastAsia" w:ascii="Times New Roman" w:hAnsi="Times New Roman" w:eastAsia="宋体"/>
                      <w:snapToGrid w:val="0"/>
                      <w:color w:val="auto"/>
                      <w:sz w:val="21"/>
                      <w:szCs w:val="21"/>
                      <w:lang w:val="en-US" w:eastAsia="zh-CN"/>
                    </w:rPr>
                    <w:t>2</w:t>
                  </w:r>
                </w:p>
              </w:tc>
              <w:tc>
                <w:tcPr>
                  <w:tcW w:w="1161"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rPr>
                    <w:t>支架、车间冲洗水</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p>
              </w:tc>
              <w:tc>
                <w:tcPr>
                  <w:tcW w:w="77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rPr>
                    <w:t>0.75</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lang w:eastAsia="zh-CN"/>
                    </w:rPr>
                  </w:pPr>
                  <w:r>
                    <w:rPr>
                      <w:rFonts w:hint="eastAsia" w:ascii="Times New Roman" w:hAnsi="Times New Roman" w:eastAsia="宋体"/>
                      <w:snapToGrid w:val="0"/>
                      <w:color w:val="auto"/>
                      <w:sz w:val="21"/>
                      <w:szCs w:val="21"/>
                      <w:lang w:val="en-US" w:eastAsia="zh-CN"/>
                    </w:rPr>
                    <w:t>3</w:t>
                  </w:r>
                </w:p>
              </w:tc>
              <w:tc>
                <w:tcPr>
                  <w:tcW w:w="1161"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ascii="Times New Roman" w:hAnsi="Times New Roman" w:eastAsia="宋体"/>
                      <w:snapToGrid w:val="0"/>
                      <w:color w:val="auto"/>
                      <w:sz w:val="21"/>
                      <w:szCs w:val="21"/>
                    </w:rPr>
                  </w:pPr>
                  <w:r>
                    <w:rPr>
                      <w:rFonts w:hint="eastAsia" w:ascii="Times New Roman" w:hAnsi="Times New Roman" w:eastAsia="宋体"/>
                      <w:snapToGrid w:val="0"/>
                      <w:color w:val="auto"/>
                      <w:sz w:val="21"/>
                      <w:szCs w:val="21"/>
                    </w:rPr>
                    <w:t>绿化用水</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p>
              </w:tc>
              <w:tc>
                <w:tcPr>
                  <w:tcW w:w="77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lang w:eastAsia="zh-CN"/>
                    </w:rPr>
                  </w:pPr>
                  <w:r>
                    <w:rPr>
                      <w:rFonts w:hint="eastAsia" w:ascii="Times New Roman" w:hAnsi="Times New Roman" w:eastAsia="宋体"/>
                      <w:snapToGrid w:val="0"/>
                      <w:color w:val="auto"/>
                      <w:sz w:val="21"/>
                      <w:szCs w:val="21"/>
                      <w:lang w:val="en-US" w:eastAsia="zh-CN"/>
                    </w:rPr>
                    <w:t>0.28m</w:t>
                  </w:r>
                  <w:r>
                    <w:rPr>
                      <w:rFonts w:hint="eastAsia" w:ascii="Times New Roman" w:hAnsi="Times New Roman" w:eastAsia="宋体"/>
                      <w:snapToGrid w:val="0"/>
                      <w:color w:val="auto"/>
                      <w:sz w:val="21"/>
                      <w:szCs w:val="21"/>
                      <w:vertAlign w:val="superscript"/>
                      <w:lang w:val="en-US" w:eastAsia="zh-CN"/>
                    </w:rPr>
                    <w:t>3</w:t>
                  </w:r>
                  <w:r>
                    <w:rPr>
                      <w:rFonts w:hint="eastAsia" w:ascii="Times New Roman" w:hAnsi="Times New Roman" w:eastAsia="宋体"/>
                      <w:snapToGrid w:val="0"/>
                      <w:color w:val="auto"/>
                      <w:sz w:val="21"/>
                      <w:szCs w:val="21"/>
                    </w:rPr>
                    <w:t>/m</w:t>
                  </w:r>
                  <w:r>
                    <w:rPr>
                      <w:rFonts w:hint="eastAsia" w:ascii="Times New Roman" w:hAnsi="Times New Roman" w:eastAsia="宋体"/>
                      <w:snapToGrid w:val="0"/>
                      <w:color w:val="auto"/>
                      <w:sz w:val="21"/>
                      <w:szCs w:val="21"/>
                      <w:vertAlign w:val="superscript"/>
                    </w:rPr>
                    <w:t>2</w:t>
                  </w:r>
                  <w:r>
                    <w:rPr>
                      <w:rFonts w:hint="eastAsia" w:ascii="Times New Roman" w:hAnsi="Times New Roman" w:eastAsia="宋体"/>
                      <w:snapToGrid w:val="0"/>
                      <w:color w:val="auto"/>
                      <w:sz w:val="21"/>
                      <w:szCs w:val="21"/>
                    </w:rPr>
                    <w:t>•</w:t>
                  </w:r>
                  <w:r>
                    <w:rPr>
                      <w:rFonts w:hint="eastAsia" w:ascii="Times New Roman" w:hAnsi="Times New Roman" w:eastAsia="宋体"/>
                      <w:snapToGrid w:val="0"/>
                      <w:color w:val="auto"/>
                      <w:sz w:val="21"/>
                      <w:szCs w:val="21"/>
                      <w:lang w:val="en-US" w:eastAsia="zh-CN"/>
                    </w:rPr>
                    <w:t>a</w:t>
                  </w: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default"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1.0</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lang w:val="en-US" w:eastAsia="zh-CN"/>
                    </w:rPr>
                    <w:t>绿化总面积1</w:t>
                  </w:r>
                  <w:r>
                    <w:rPr>
                      <w:rFonts w:hint="eastAsia" w:ascii="Times New Roman" w:hAnsi="Times New Roman" w:eastAsia="宋体"/>
                      <w:snapToGrid w:val="0"/>
                      <w:color w:val="auto"/>
                      <w:sz w:val="21"/>
                      <w:szCs w:val="21"/>
                    </w:rPr>
                    <w:t>000m</w:t>
                  </w:r>
                  <w:r>
                    <w:rPr>
                      <w:rFonts w:hint="eastAsia" w:ascii="Times New Roman" w:hAnsi="Times New Roman" w:eastAsia="宋体"/>
                      <w:snapToGrid w:val="0"/>
                      <w:color w:val="auto"/>
                      <w:sz w:val="21"/>
                      <w:szCs w:val="21"/>
                      <w:vertAlign w:val="superscript"/>
                    </w:rPr>
                    <w:t>2</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lang w:eastAsia="zh-CN"/>
                    </w:rPr>
                  </w:pPr>
                  <w:r>
                    <w:rPr>
                      <w:rFonts w:hint="eastAsia" w:ascii="Times New Roman" w:hAnsi="Times New Roman" w:eastAsia="宋体"/>
                      <w:snapToGrid w:val="0"/>
                      <w:color w:val="auto"/>
                      <w:sz w:val="21"/>
                      <w:szCs w:val="21"/>
                      <w:lang w:val="en-US" w:eastAsia="zh-CN"/>
                    </w:rPr>
                    <w:t>4</w:t>
                  </w:r>
                </w:p>
              </w:tc>
              <w:tc>
                <w:tcPr>
                  <w:tcW w:w="1161"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rPr>
                    <w:t>道路洒水</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p>
              </w:tc>
              <w:tc>
                <w:tcPr>
                  <w:tcW w:w="77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lang w:eastAsia="zh-CN"/>
                    </w:rPr>
                  </w:pPr>
                  <w:r>
                    <w:rPr>
                      <w:rFonts w:hint="eastAsia" w:ascii="Times New Roman" w:hAnsi="Times New Roman" w:eastAsia="宋体"/>
                      <w:snapToGrid w:val="0"/>
                      <w:color w:val="auto"/>
                      <w:sz w:val="21"/>
                      <w:szCs w:val="21"/>
                      <w:lang w:val="en-US" w:eastAsia="zh-CN"/>
                    </w:rPr>
                    <w:t>0.2</w:t>
                  </w:r>
                  <w:r>
                    <w:rPr>
                      <w:rFonts w:hint="eastAsia" w:ascii="Times New Roman" w:hAnsi="Times New Roman" w:eastAsia="宋体"/>
                      <w:snapToGrid w:val="0"/>
                      <w:color w:val="auto"/>
                      <w:sz w:val="21"/>
                      <w:szCs w:val="21"/>
                    </w:rPr>
                    <w:t>L/m</w:t>
                  </w:r>
                  <w:r>
                    <w:rPr>
                      <w:rFonts w:hint="eastAsia" w:ascii="Times New Roman" w:hAnsi="Times New Roman" w:eastAsia="宋体"/>
                      <w:snapToGrid w:val="0"/>
                      <w:color w:val="auto"/>
                      <w:sz w:val="21"/>
                      <w:szCs w:val="21"/>
                      <w:vertAlign w:val="superscript"/>
                    </w:rPr>
                    <w:t>2</w:t>
                  </w:r>
                  <w:r>
                    <w:rPr>
                      <w:rFonts w:hint="eastAsia" w:ascii="Times New Roman" w:hAnsi="Times New Roman" w:eastAsia="宋体"/>
                      <w:snapToGrid w:val="0"/>
                      <w:color w:val="auto"/>
                      <w:sz w:val="21"/>
                      <w:szCs w:val="21"/>
                    </w:rPr>
                    <w:t>•</w:t>
                  </w:r>
                  <w:r>
                    <w:rPr>
                      <w:rFonts w:hint="eastAsia" w:ascii="Times New Roman" w:hAnsi="Times New Roman" w:eastAsia="宋体"/>
                      <w:snapToGrid w:val="0"/>
                      <w:color w:val="auto"/>
                      <w:sz w:val="21"/>
                      <w:szCs w:val="21"/>
                      <w:lang w:val="en-US" w:eastAsia="zh-CN"/>
                    </w:rPr>
                    <w:t>次</w:t>
                  </w: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lang w:val="en-US" w:eastAsia="zh-CN"/>
                    </w:rPr>
                    <w:t>2</w:t>
                  </w:r>
                  <w:r>
                    <w:rPr>
                      <w:rFonts w:hint="eastAsia" w:ascii="Times New Roman" w:hAnsi="Times New Roman" w:eastAsia="宋体"/>
                      <w:snapToGrid w:val="0"/>
                      <w:color w:val="auto"/>
                      <w:sz w:val="21"/>
                      <w:szCs w:val="21"/>
                    </w:rPr>
                    <w:t>.0</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0"/>
                    <w:rPr>
                      <w:rFonts w:hint="eastAsia" w:ascii="Times New Roman" w:hAnsi="Times New Roman" w:eastAsia="宋体"/>
                      <w:snapToGrid w:val="0"/>
                      <w:color w:val="auto"/>
                      <w:sz w:val="21"/>
                      <w:szCs w:val="21"/>
                    </w:rPr>
                  </w:pPr>
                  <w:r>
                    <w:rPr>
                      <w:rFonts w:hint="eastAsia" w:ascii="Times New Roman" w:hAnsi="Times New Roman" w:eastAsia="宋体"/>
                      <w:snapToGrid w:val="0"/>
                      <w:color w:val="auto"/>
                      <w:sz w:val="21"/>
                      <w:szCs w:val="21"/>
                      <w:lang w:val="en-US" w:eastAsia="zh-CN"/>
                    </w:rPr>
                    <w:t>厂内道路面积5</w:t>
                  </w:r>
                  <w:r>
                    <w:rPr>
                      <w:rFonts w:hint="eastAsia" w:ascii="Times New Roman" w:hAnsi="Times New Roman" w:eastAsia="宋体"/>
                      <w:snapToGrid w:val="0"/>
                      <w:color w:val="auto"/>
                      <w:sz w:val="21"/>
                      <w:szCs w:val="21"/>
                    </w:rPr>
                    <w:t>000m</w:t>
                  </w:r>
                  <w:r>
                    <w:rPr>
                      <w:rFonts w:hint="eastAsia" w:ascii="Times New Roman" w:hAnsi="Times New Roman" w:eastAsia="宋体"/>
                      <w:snapToGrid w:val="0"/>
                      <w:color w:val="auto"/>
                      <w:sz w:val="21"/>
                      <w:szCs w:val="21"/>
                      <w:vertAlign w:val="superscript"/>
                    </w:rPr>
                    <w:t>2</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49" w:hRule="atLeast"/>
                <w:jc w:val="center"/>
              </w:trPr>
              <w:tc>
                <w:tcPr>
                  <w:tcW w:w="33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p>
              </w:tc>
              <w:tc>
                <w:tcPr>
                  <w:tcW w:w="1161"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总计</w:t>
                  </w:r>
                </w:p>
              </w:tc>
              <w:tc>
                <w:tcPr>
                  <w:tcW w:w="8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p>
              </w:tc>
              <w:tc>
                <w:tcPr>
                  <w:tcW w:w="778"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p>
              </w:tc>
              <w:tc>
                <w:tcPr>
                  <w:tcW w:w="802" w:type="pct"/>
                  <w:tcBorders>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olor w:val="auto"/>
                      <w:spacing w:val="2"/>
                      <w:kern w:val="20"/>
                      <w:position w:val="2"/>
                      <w:sz w:val="21"/>
                      <w:szCs w:val="21"/>
                      <w:lang w:val="en-US" w:eastAsia="zh-CN"/>
                    </w:rPr>
                  </w:pPr>
                  <w:r>
                    <w:rPr>
                      <w:rFonts w:hint="eastAsia" w:ascii="Times New Roman" w:hAnsi="Times New Roman" w:eastAsia="宋体"/>
                      <w:color w:val="auto"/>
                      <w:spacing w:val="2"/>
                      <w:kern w:val="20"/>
                      <w:position w:val="2"/>
                      <w:sz w:val="21"/>
                      <w:szCs w:val="21"/>
                      <w:lang w:val="en-US" w:eastAsia="zh-CN"/>
                    </w:rPr>
                    <w:t>7.25</w:t>
                  </w:r>
                </w:p>
              </w:tc>
              <w:tc>
                <w:tcPr>
                  <w:tcW w:w="1055"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pacing w:val="2"/>
                      <w:kern w:val="20"/>
                      <w:position w:val="2"/>
                      <w:sz w:val="21"/>
                      <w:szCs w:val="21"/>
                    </w:rPr>
                  </w:pPr>
                </w:p>
              </w:tc>
            </w:tr>
          </w:tbl>
          <w:p>
            <w:pPr>
              <w:tabs>
                <w:tab w:val="left" w:pos="6300"/>
              </w:tabs>
              <w:adjustRightInd w:val="0"/>
              <w:snapToGrid w:val="0"/>
              <w:spacing w:before="156" w:beforeLines="50" w:line="480" w:lineRule="exact"/>
              <w:ind w:firstLine="480" w:firstLineChars="200"/>
              <w:rPr>
                <w:rFonts w:ascii="Times New Roman" w:hAnsi="Times New Roman" w:eastAsia="宋体"/>
                <w:color w:val="auto"/>
                <w:sz w:val="24"/>
              </w:rPr>
            </w:pPr>
            <w:r>
              <w:rPr>
                <w:rFonts w:hint="eastAsia" w:ascii="Times New Roman" w:hAnsi="Times New Roman" w:eastAsia="宋体"/>
                <w:color w:val="auto"/>
                <w:sz w:val="24"/>
                <w:lang w:val="en-US" w:eastAsia="zh-CN"/>
              </w:rPr>
              <w:t>3）</w:t>
            </w:r>
            <w:r>
              <w:rPr>
                <w:rFonts w:ascii="Times New Roman" w:hAnsi="Times New Roman" w:eastAsia="宋体"/>
                <w:color w:val="auto"/>
                <w:sz w:val="24"/>
              </w:rPr>
              <w:t>排水系统</w:t>
            </w:r>
          </w:p>
          <w:p>
            <w:pPr>
              <w:spacing w:before="120" w:line="520" w:lineRule="exact"/>
              <w:ind w:firstLine="480" w:firstLineChars="200"/>
              <w:rPr>
                <w:rFonts w:hint="eastAsia" w:ascii="Times New Roman" w:hAnsi="Times New Roman" w:eastAsia="宋体"/>
                <w:color w:val="auto"/>
                <w:sz w:val="24"/>
              </w:rPr>
            </w:pPr>
            <w:r>
              <w:rPr>
                <w:rFonts w:hint="eastAsia" w:ascii="Times New Roman" w:hAnsi="Times New Roman" w:eastAsia="宋体"/>
                <w:color w:val="auto"/>
                <w:sz w:val="24"/>
              </w:rPr>
              <w:t>本</w:t>
            </w:r>
            <w:r>
              <w:rPr>
                <w:rFonts w:hint="eastAsia" w:ascii="Times New Roman" w:hAnsi="Times New Roman" w:eastAsia="宋体"/>
                <w:color w:val="auto"/>
                <w:sz w:val="24"/>
                <w:lang w:val="en-US" w:eastAsia="zh-CN"/>
              </w:rPr>
              <w:t>项目</w:t>
            </w:r>
            <w:r>
              <w:rPr>
                <w:rFonts w:hint="eastAsia" w:ascii="Times New Roman" w:hAnsi="Times New Roman" w:eastAsia="宋体"/>
                <w:color w:val="auto"/>
                <w:sz w:val="24"/>
              </w:rPr>
              <w:t>排水实行雨污分流。雨水在厂区采用暗管排水，在厂区道路及部分场地上设有雨水口，通过排水暗管排出厂区进入</w:t>
            </w:r>
            <w:r>
              <w:rPr>
                <w:rFonts w:hint="eastAsia" w:ascii="Times New Roman" w:hAnsi="Times New Roman" w:eastAsia="宋体"/>
                <w:color w:val="auto"/>
                <w:sz w:val="24"/>
                <w:lang w:val="en-US" w:eastAsia="zh-CN"/>
              </w:rPr>
              <w:t>厂外聚鸦公路道路排水渠</w:t>
            </w:r>
            <w:r>
              <w:rPr>
                <w:rFonts w:hint="eastAsia" w:ascii="Times New Roman" w:hAnsi="Times New Roman" w:eastAsia="宋体"/>
                <w:color w:val="auto"/>
                <w:sz w:val="24"/>
              </w:rPr>
              <w:t>。</w:t>
            </w:r>
          </w:p>
          <w:p>
            <w:pPr>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rPr>
              <w:t>①</w:t>
            </w:r>
            <w:r>
              <w:rPr>
                <w:rFonts w:ascii="Times New Roman" w:hAnsi="Times New Roman" w:eastAsia="宋体" w:cs="Times New Roman"/>
                <w:color w:val="auto"/>
                <w:sz w:val="24"/>
              </w:rPr>
              <w:t>生活污水：本项目生活用水量为</w:t>
            </w:r>
            <w:r>
              <w:rPr>
                <w:rFonts w:hint="eastAsia" w:ascii="Times New Roman" w:hAnsi="Times New Roman" w:eastAsia="宋体" w:cs="Times New Roman"/>
                <w:color w:val="auto"/>
                <w:sz w:val="24"/>
                <w:lang w:val="en-US" w:eastAsia="zh-CN"/>
              </w:rPr>
              <w:t>3.5</w:t>
            </w:r>
            <w:r>
              <w:rPr>
                <w:rFonts w:ascii="Times New Roman" w:hAnsi="Times New Roman" w:eastAsia="宋体" w:cs="Times New Roman"/>
                <w:color w:val="auto"/>
                <w:sz w:val="24"/>
              </w:rPr>
              <w:t>m³/d（1</w:t>
            </w:r>
            <w:r>
              <w:rPr>
                <w:rFonts w:hint="eastAsia" w:ascii="Times New Roman" w:hAnsi="Times New Roman" w:eastAsia="宋体" w:cs="Times New Roman"/>
                <w:color w:val="auto"/>
                <w:sz w:val="24"/>
                <w:lang w:val="en-US" w:eastAsia="zh-CN"/>
              </w:rPr>
              <w:t>050</w:t>
            </w:r>
            <w:r>
              <w:rPr>
                <w:rFonts w:ascii="Times New Roman" w:hAnsi="Times New Roman" w:eastAsia="宋体" w:cs="Times New Roman"/>
                <w:color w:val="auto"/>
                <w:sz w:val="24"/>
              </w:rPr>
              <w:t>m³/a），污水产生系数按0.8计，则生活污水产生量为</w:t>
            </w:r>
            <w:r>
              <w:rPr>
                <w:rFonts w:hint="eastAsia" w:ascii="Times New Roman" w:hAnsi="Times New Roman" w:eastAsia="宋体" w:cs="Times New Roman"/>
                <w:color w:val="auto"/>
                <w:sz w:val="24"/>
                <w:lang w:val="en-US" w:eastAsia="zh-CN"/>
              </w:rPr>
              <w:t>2.8</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val="en-US" w:eastAsia="zh-CN"/>
              </w:rPr>
              <w:t>840</w:t>
            </w:r>
            <w:r>
              <w:rPr>
                <w:rFonts w:ascii="Times New Roman" w:hAnsi="Times New Roman" w:eastAsia="宋体" w:cs="Times New Roman"/>
                <w:color w:val="auto"/>
                <w:sz w:val="24"/>
              </w:rPr>
              <w:t>m³/a）。</w:t>
            </w:r>
          </w:p>
          <w:p>
            <w:pPr>
              <w:spacing w:line="48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②</w:t>
            </w:r>
            <w:r>
              <w:rPr>
                <w:rFonts w:ascii="Times New Roman" w:hAnsi="Times New Roman" w:eastAsia="宋体" w:cs="Times New Roman"/>
                <w:color w:val="auto"/>
                <w:sz w:val="24"/>
              </w:rPr>
              <w:t>生产废水</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支架、车间冲洗</w:t>
            </w:r>
            <w:r>
              <w:rPr>
                <w:rFonts w:ascii="Times New Roman" w:hAnsi="Times New Roman" w:eastAsia="宋体" w:cs="Times New Roman"/>
                <w:color w:val="auto"/>
                <w:sz w:val="24"/>
              </w:rPr>
              <w:t>用水量为</w:t>
            </w:r>
            <w:r>
              <w:rPr>
                <w:rFonts w:hint="eastAsia" w:ascii="Times New Roman" w:hAnsi="Times New Roman" w:eastAsia="宋体" w:cs="Times New Roman"/>
                <w:color w:val="auto"/>
                <w:sz w:val="24"/>
                <w:lang w:val="en-US" w:eastAsia="zh-CN"/>
              </w:rPr>
              <w:t>15</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val="en-US" w:eastAsia="zh-CN"/>
              </w:rPr>
              <w:t>4500</w:t>
            </w:r>
            <w:r>
              <w:rPr>
                <w:rFonts w:ascii="Times New Roman" w:hAnsi="Times New Roman" w:eastAsia="宋体" w:cs="Times New Roman"/>
                <w:color w:val="auto"/>
                <w:sz w:val="24"/>
              </w:rPr>
              <w:t>m³/a），污水产生系数按0.9计，则清洗废水产生量为</w:t>
            </w:r>
            <w:r>
              <w:rPr>
                <w:rFonts w:hint="eastAsia" w:ascii="Times New Roman" w:hAnsi="Times New Roman" w:eastAsia="宋体" w:cs="Times New Roman"/>
                <w:color w:val="auto"/>
                <w:sz w:val="24"/>
                <w:lang w:val="en-US" w:eastAsia="zh-CN"/>
              </w:rPr>
              <w:t>14.25</w:t>
            </w:r>
            <w:r>
              <w:rPr>
                <w:rFonts w:ascii="Times New Roman" w:hAnsi="Times New Roman" w:eastAsia="宋体" w:cs="Times New Roman"/>
                <w:color w:val="auto"/>
                <w:sz w:val="24"/>
              </w:rPr>
              <w:t>m³/d（4</w:t>
            </w:r>
            <w:r>
              <w:rPr>
                <w:rFonts w:hint="eastAsia" w:ascii="Times New Roman" w:hAnsi="Times New Roman" w:eastAsia="宋体" w:cs="Times New Roman"/>
                <w:color w:val="auto"/>
                <w:sz w:val="24"/>
                <w:lang w:val="en-US" w:eastAsia="zh-CN"/>
              </w:rPr>
              <w:t>275</w:t>
            </w:r>
            <w:r>
              <w:rPr>
                <w:rFonts w:ascii="Times New Roman" w:hAnsi="Times New Roman" w:eastAsia="宋体" w:cs="Times New Roman"/>
                <w:color w:val="auto"/>
                <w:sz w:val="24"/>
              </w:rPr>
              <w:t>m³/a）。环评要求</w:t>
            </w:r>
            <w:r>
              <w:rPr>
                <w:rFonts w:hint="eastAsia" w:ascii="Times New Roman" w:hAnsi="Times New Roman" w:eastAsia="宋体" w:cs="Times New Roman"/>
                <w:color w:val="auto"/>
                <w:sz w:val="24"/>
              </w:rPr>
              <w:t>冲洗废水经含油废水处理系统处理后回用于冲洗支架等设备，循环使用。</w:t>
            </w:r>
          </w:p>
          <w:p>
            <w:pPr>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生活污水主要是洗漱废水，经沉淀池收集</w:t>
            </w:r>
            <w:r>
              <w:rPr>
                <w:rFonts w:hint="eastAsia" w:ascii="Times New Roman" w:hAnsi="Times New Roman" w:eastAsia="宋体" w:cs="Times New Roman"/>
                <w:color w:val="auto"/>
                <w:sz w:val="24"/>
              </w:rPr>
              <w:t>后回用</w:t>
            </w:r>
            <w:r>
              <w:rPr>
                <w:rFonts w:hint="eastAsia" w:ascii="Times New Roman" w:hAnsi="Times New Roman" w:eastAsia="宋体" w:cs="Times New Roman"/>
                <w:color w:val="auto"/>
                <w:sz w:val="24"/>
                <w:lang w:val="en-US" w:eastAsia="zh-CN"/>
              </w:rPr>
              <w:t>于绿化、道路洒水。</w:t>
            </w:r>
          </w:p>
          <w:p>
            <w:pPr>
              <w:widowControl/>
              <w:adjustRightInd w:val="0"/>
              <w:snapToGrid w:val="0"/>
              <w:jc w:val="center"/>
              <w:rPr>
                <w:rFonts w:ascii="Times New Roman" w:hAnsi="Times New Roman" w:eastAsia="宋体" w:cs="Times New Roman"/>
                <w:color w:val="auto"/>
                <w:sz w:val="24"/>
                <w:szCs w:val="24"/>
              </w:rPr>
            </w:pPr>
            <w:r>
              <w:drawing>
                <wp:inline distT="0" distB="0" distL="114300" distR="114300">
                  <wp:extent cx="5741035" cy="2556510"/>
                  <wp:effectExtent l="0" t="0" r="12065" b="15240"/>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a:picLocks noChangeAspect="1"/>
                          </pic:cNvPicPr>
                        </pic:nvPicPr>
                        <pic:blipFill>
                          <a:blip r:embed="rId9"/>
                          <a:stretch>
                            <a:fillRect/>
                          </a:stretch>
                        </pic:blipFill>
                        <pic:spPr>
                          <a:xfrm>
                            <a:off x="0" y="0"/>
                            <a:ext cx="5741035" cy="2556510"/>
                          </a:xfrm>
                          <a:prstGeom prst="rect">
                            <a:avLst/>
                          </a:prstGeom>
                          <a:noFill/>
                          <a:ln>
                            <a:noFill/>
                          </a:ln>
                        </pic:spPr>
                      </pic:pic>
                    </a:graphicData>
                  </a:graphic>
                </wp:inline>
              </w:drawing>
            </w:r>
          </w:p>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r>
              <w:rPr>
                <w:rFonts w:ascii="Times New Roman" w:hAnsi="Times New Roman" w:eastAsia="宋体" w:cs="Times New Roman"/>
                <w:b/>
                <w:bCs w:val="0"/>
                <w:snapToGrid w:val="0"/>
                <w:color w:val="auto"/>
                <w:kern w:val="0"/>
                <w:szCs w:val="21"/>
              </w:rPr>
              <w:t>图1项目水平衡示意图</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（10）厂区总平面布置</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ascii="Times New Roman" w:hAnsi="Times New Roman" w:eastAsia="宋体" w:cs="Times New Roman"/>
                <w:color w:val="auto"/>
                <w:sz w:val="24"/>
                <w:szCs w:val="24"/>
              </w:rPr>
              <w:t>本项目占地面积为</w:t>
            </w:r>
            <w:r>
              <w:rPr>
                <w:rFonts w:hint="eastAsia" w:ascii="Times New Roman" w:hAnsi="Times New Roman" w:eastAsia="宋体" w:cs="Times New Roman"/>
                <w:color w:val="auto"/>
                <w:sz w:val="24"/>
                <w:szCs w:val="24"/>
                <w:lang w:val="en-US" w:eastAsia="zh-CN"/>
              </w:rPr>
              <w:t>20000</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2</w:t>
            </w:r>
            <w:r>
              <w:rPr>
                <w:rFonts w:ascii="Times New Roman" w:hAnsi="Times New Roman" w:eastAsia="宋体" w:cs="Times New Roman"/>
                <w:color w:val="auto"/>
                <w:sz w:val="24"/>
                <w:szCs w:val="24"/>
              </w:rPr>
              <w:t>，厂区总体呈</w:t>
            </w:r>
            <w:r>
              <w:rPr>
                <w:rFonts w:hint="eastAsia" w:ascii="Times New Roman" w:hAnsi="Times New Roman" w:eastAsia="宋体" w:cs="Times New Roman"/>
                <w:color w:val="auto"/>
                <w:sz w:val="24"/>
                <w:szCs w:val="24"/>
                <w:lang w:val="en-US" w:eastAsia="zh-CN"/>
              </w:rPr>
              <w:t>南北</w:t>
            </w:r>
            <w:r>
              <w:rPr>
                <w:rFonts w:ascii="Times New Roman" w:hAnsi="Times New Roman" w:eastAsia="宋体" w:cs="Times New Roman"/>
                <w:color w:val="auto"/>
                <w:sz w:val="24"/>
                <w:szCs w:val="24"/>
              </w:rPr>
              <w:t>走向矩形形状，在厂区</w:t>
            </w:r>
            <w:r>
              <w:rPr>
                <w:rFonts w:hint="eastAsia" w:ascii="Times New Roman" w:hAnsi="Times New Roman" w:eastAsia="宋体" w:cs="Times New Roman"/>
                <w:color w:val="auto"/>
                <w:sz w:val="24"/>
                <w:szCs w:val="24"/>
                <w:lang w:val="en-US" w:eastAsia="zh-CN"/>
              </w:rPr>
              <w:t>北端建有一座全封闭轻钢结构的支架存放区</w:t>
            </w:r>
            <w:r>
              <w:rPr>
                <w:rFonts w:ascii="Times New Roman" w:hAnsi="Times New Roman" w:eastAsia="宋体" w:cs="Times New Roman"/>
                <w:color w:val="auto"/>
                <w:sz w:val="24"/>
                <w:szCs w:val="24"/>
              </w:rPr>
              <w:t>（长×宽×高：</w:t>
            </w:r>
            <w:r>
              <w:rPr>
                <w:rFonts w:hint="eastAsia" w:ascii="Times New Roman" w:hAnsi="Times New Roman" w:eastAsia="宋体" w:cs="Times New Roman"/>
                <w:color w:val="auto"/>
                <w:sz w:val="24"/>
                <w:szCs w:val="24"/>
                <w:lang w:val="en-US" w:eastAsia="zh-CN"/>
              </w:rPr>
              <w:t>109</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w:t>
            </w:r>
            <w:r>
              <w:rPr>
                <w:rFonts w:hint="eastAsia" w:ascii="Times New Roman" w:hAnsi="Times New Roman" w:eastAsia="宋体" w:cs="Times New Roman"/>
                <w:color w:val="auto"/>
                <w:sz w:val="24"/>
                <w:szCs w:val="24"/>
                <w:lang w:val="en-US" w:eastAsia="zh-CN"/>
              </w:rPr>
              <w:t>全封闭厂房位于厂区中部</w:t>
            </w:r>
            <w:r>
              <w:rPr>
                <w:rFonts w:ascii="Times New Roman" w:hAnsi="Times New Roman" w:eastAsia="宋体" w:cs="Times New Roman"/>
                <w:color w:val="auto"/>
                <w:sz w:val="24"/>
                <w:szCs w:val="24"/>
              </w:rPr>
              <w:t>，呈南北走向，长×宽×高：</w:t>
            </w:r>
            <w:r>
              <w:rPr>
                <w:rFonts w:hint="eastAsia" w:ascii="Times New Roman" w:hAnsi="Times New Roman" w:eastAsia="宋体" w:cs="Times New Roman"/>
                <w:color w:val="auto"/>
                <w:sz w:val="24"/>
                <w:szCs w:val="24"/>
                <w:lang w:val="en-US" w:eastAsia="zh-CN"/>
              </w:rPr>
              <w:t>96</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88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w:t>
            </w:r>
            <w:r>
              <w:rPr>
                <w:rFonts w:hint="eastAsia" w:ascii="Times New Roman" w:hAnsi="Times New Roman" w:eastAsia="宋体" w:cs="Times New Roman"/>
                <w:color w:val="auto"/>
                <w:sz w:val="24"/>
                <w:szCs w:val="24"/>
                <w:lang w:val="en-US" w:eastAsia="zh-CN"/>
              </w:rPr>
              <w:t>m：内部划分四个区从东向西分别为：立柱千金车间（</w:t>
            </w:r>
            <w:r>
              <w:rPr>
                <w:rFonts w:ascii="Times New Roman" w:hAnsi="Times New Roman" w:eastAsia="宋体" w:cs="Times New Roman"/>
                <w:color w:val="auto"/>
                <w:sz w:val="24"/>
                <w:szCs w:val="24"/>
              </w:rPr>
              <w:t>长×宽×高：</w:t>
            </w:r>
            <w:r>
              <w:rPr>
                <w:rFonts w:hint="eastAsia" w:ascii="Times New Roman" w:hAnsi="Times New Roman" w:eastAsia="宋体" w:cs="Times New Roman"/>
                <w:color w:val="auto"/>
                <w:sz w:val="24"/>
                <w:szCs w:val="24"/>
                <w:lang w:val="en-US" w:eastAsia="zh-CN"/>
              </w:rPr>
              <w:t>88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21</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w:t>
            </w:r>
            <w:r>
              <w:rPr>
                <w:rFonts w:hint="eastAsia" w:ascii="Times New Roman" w:hAnsi="Times New Roman" w:eastAsia="宋体" w:cs="Times New Roman"/>
                <w:color w:val="auto"/>
                <w:sz w:val="24"/>
                <w:szCs w:val="24"/>
                <w:lang w:val="en-US" w:eastAsia="zh-CN"/>
              </w:rPr>
              <w:t>），支架组装车间（</w:t>
            </w:r>
            <w:r>
              <w:rPr>
                <w:rFonts w:ascii="Times New Roman" w:hAnsi="Times New Roman" w:eastAsia="宋体" w:cs="Times New Roman"/>
                <w:color w:val="auto"/>
                <w:sz w:val="24"/>
                <w:szCs w:val="24"/>
              </w:rPr>
              <w:t>长×宽×高：</w:t>
            </w:r>
            <w:r>
              <w:rPr>
                <w:rFonts w:hint="eastAsia" w:ascii="Times New Roman" w:hAnsi="Times New Roman" w:eastAsia="宋体" w:cs="Times New Roman"/>
                <w:color w:val="auto"/>
                <w:sz w:val="24"/>
                <w:szCs w:val="24"/>
                <w:lang w:val="en-US" w:eastAsia="zh-CN"/>
              </w:rPr>
              <w:t>88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21</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，支架拆解车间（</w:t>
            </w:r>
            <w:r>
              <w:rPr>
                <w:rFonts w:ascii="Times New Roman" w:hAnsi="Times New Roman" w:eastAsia="宋体" w:cs="Times New Roman"/>
                <w:color w:val="auto"/>
                <w:sz w:val="24"/>
                <w:szCs w:val="24"/>
              </w:rPr>
              <w:t>长×宽×高：</w:t>
            </w:r>
            <w:r>
              <w:rPr>
                <w:rFonts w:hint="eastAsia" w:ascii="Times New Roman" w:hAnsi="Times New Roman" w:eastAsia="宋体" w:cs="Times New Roman"/>
                <w:color w:val="auto"/>
                <w:sz w:val="24"/>
                <w:szCs w:val="24"/>
                <w:lang w:val="en-US" w:eastAsia="zh-CN"/>
              </w:rPr>
              <w:t>88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27</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，单体维修车间（</w:t>
            </w:r>
            <w:r>
              <w:rPr>
                <w:rFonts w:ascii="Times New Roman" w:hAnsi="Times New Roman" w:eastAsia="宋体" w:cs="Times New Roman"/>
                <w:color w:val="auto"/>
                <w:sz w:val="24"/>
                <w:szCs w:val="24"/>
              </w:rPr>
              <w:t>长×宽×高：</w:t>
            </w:r>
            <w:r>
              <w:rPr>
                <w:rFonts w:hint="eastAsia" w:ascii="Times New Roman" w:hAnsi="Times New Roman" w:eastAsia="宋体" w:cs="Times New Roman"/>
                <w:color w:val="auto"/>
                <w:sz w:val="24"/>
                <w:szCs w:val="24"/>
                <w:lang w:val="en-US" w:eastAsia="zh-CN"/>
              </w:rPr>
              <w:t>88</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27</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和喷漆车间占地400m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位于单体维修车间南端</w:t>
            </w:r>
            <w:r>
              <w:rPr>
                <w:rFonts w:ascii="Times New Roman" w:hAnsi="Times New Roman" w:eastAsia="宋体" w:cs="Times New Roman"/>
                <w:color w:val="auto"/>
                <w:sz w:val="24"/>
                <w:szCs w:val="24"/>
              </w:rPr>
              <w:t>；一般工业固体废物暂存库位于厂区西南</w:t>
            </w:r>
            <w:r>
              <w:rPr>
                <w:rFonts w:hint="eastAsia" w:ascii="Times New Roman" w:hAnsi="Times New Roman" w:eastAsia="宋体" w:cs="Times New Roman"/>
                <w:color w:val="auto"/>
                <w:sz w:val="24"/>
                <w:szCs w:val="24"/>
              </w:rPr>
              <w:t>角，</w:t>
            </w:r>
            <w:r>
              <w:rPr>
                <w:rFonts w:ascii="Times New Roman" w:hAnsi="Times New Roman" w:eastAsia="宋体" w:cs="Times New Roman"/>
                <w:color w:val="auto"/>
                <w:sz w:val="24"/>
                <w:szCs w:val="24"/>
              </w:rPr>
              <w:t>呈</w:t>
            </w:r>
            <w:r>
              <w:rPr>
                <w:rFonts w:hint="eastAsia" w:ascii="Times New Roman" w:hAnsi="Times New Roman" w:eastAsia="宋体" w:cs="Times New Roman"/>
                <w:color w:val="auto"/>
                <w:sz w:val="24"/>
                <w:szCs w:val="24"/>
              </w:rPr>
              <w:t>东西</w:t>
            </w:r>
            <w:r>
              <w:rPr>
                <w:rFonts w:ascii="Times New Roman" w:hAnsi="Times New Roman" w:eastAsia="宋体" w:cs="Times New Roman"/>
                <w:color w:val="auto"/>
                <w:sz w:val="24"/>
                <w:szCs w:val="24"/>
              </w:rPr>
              <w:t>走向，长×宽×高：30m×20m×</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6m；废水</w:t>
            </w:r>
            <w:r>
              <w:rPr>
                <w:rFonts w:hint="eastAsia" w:ascii="Times New Roman" w:hAnsi="Times New Roman" w:eastAsia="宋体" w:cs="Times New Roman"/>
                <w:color w:val="auto"/>
                <w:sz w:val="24"/>
                <w:szCs w:val="24"/>
                <w:lang w:val="en-US" w:eastAsia="zh-CN"/>
              </w:rPr>
              <w:t>收集池</w:t>
            </w:r>
            <w:r>
              <w:rPr>
                <w:rFonts w:ascii="Times New Roman" w:hAnsi="Times New Roman" w:eastAsia="宋体" w:cs="Times New Roman"/>
                <w:color w:val="auto"/>
                <w:sz w:val="24"/>
                <w:szCs w:val="24"/>
              </w:rPr>
              <w:t>位于厂区东南侧</w:t>
            </w:r>
            <w:r>
              <w:rPr>
                <w:rFonts w:hint="eastAsia" w:ascii="Times New Roman" w:hAnsi="Times New Roman" w:eastAsia="宋体" w:cs="Times New Roman"/>
                <w:color w:val="auto"/>
                <w:sz w:val="24"/>
                <w:szCs w:val="24"/>
              </w:rPr>
              <w:t>；</w:t>
            </w:r>
            <w:r>
              <w:rPr>
                <w:rFonts w:ascii="Times New Roman" w:hAnsi="Times New Roman" w:eastAsia="宋体" w:cs="Times New Roman"/>
                <w:color w:val="auto"/>
                <w:sz w:val="24"/>
                <w:szCs w:val="24"/>
              </w:rPr>
              <w:t>综合办公室位于厂区内</w:t>
            </w:r>
            <w:r>
              <w:rPr>
                <w:rFonts w:hint="eastAsia" w:ascii="Times New Roman" w:hAnsi="Times New Roman" w:eastAsia="宋体" w:cs="Times New Roman"/>
                <w:color w:val="auto"/>
                <w:sz w:val="24"/>
                <w:szCs w:val="24"/>
                <w:lang w:val="en-US" w:eastAsia="zh-CN"/>
              </w:rPr>
              <w:t>南段</w:t>
            </w:r>
            <w:r>
              <w:rPr>
                <w:rFonts w:ascii="Times New Roman" w:hAnsi="Times New Roman" w:eastAsia="宋体" w:cs="Times New Roman"/>
                <w:color w:val="auto"/>
                <w:sz w:val="24"/>
                <w:szCs w:val="24"/>
              </w:rPr>
              <w:t>，呈南北走向，长×宽×高：4</w:t>
            </w: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lang w:eastAsia="zh-CN"/>
              </w:rPr>
              <w:t>。</w:t>
            </w:r>
          </w:p>
          <w:p>
            <w:pPr>
              <w:widowControl/>
              <w:adjustRightInd w:val="0"/>
              <w:snapToGrid w:val="0"/>
              <w:spacing w:line="480" w:lineRule="exact"/>
              <w:ind w:firstLine="480" w:firstLineChars="200"/>
              <w:rPr>
                <w:rFonts w:ascii="Times New Roman" w:hAnsi="Times New Roman" w:eastAsia="宋体" w:cs="Times New Roman"/>
                <w:color w:val="auto"/>
                <w:kern w:val="0"/>
                <w:sz w:val="24"/>
                <w:szCs w:val="24"/>
              </w:rPr>
            </w:pPr>
            <w:r>
              <w:rPr>
                <w:rFonts w:ascii="Times New Roman" w:hAnsi="Times New Roman" w:eastAsia="宋体" w:cs="Times New Roman"/>
                <w:color w:val="auto"/>
                <w:sz w:val="24"/>
                <w:szCs w:val="24"/>
              </w:rPr>
              <w:t>厂区总平面布置图见附图3。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tcBorders>
              <w:tl2br w:val="nil"/>
              <w:tr2bl w:val="nil"/>
            </w:tcBorders>
            <w:vAlign w:val="center"/>
          </w:tcPr>
          <w:p>
            <w:pPr>
              <w:spacing w:line="480" w:lineRule="exact"/>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工艺流程和产排污环节</w:t>
            </w:r>
          </w:p>
        </w:tc>
        <w:tc>
          <w:tcPr>
            <w:tcW w:w="4580" w:type="pct"/>
            <w:tcBorders>
              <w:tl2br w:val="nil"/>
              <w:tr2bl w:val="nil"/>
            </w:tcBorders>
            <w:vAlign w:val="center"/>
          </w:tcPr>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承担对煤矿设备的大修，即要对设备进行全面修理，使设备完全恢复精度和额定出力。需要对设备全面解体，对所有零部件进行清洗、检查、更换或加固重要的零部件，恢复设备应有的精度和性能，调整机械和电器操作系统，处理或更换设备外壳、配齐安全装置和必要的附件，人工除锈并人工重新补漆，按设备出厂或部分大修标准进行验收。</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本项目生产工艺流程及产污环节：</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一、单体液压支柱修理工艺流程说明：</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单体液压支柱用汽车运到本中内液压支架支柱修理车间东侧露天作业场，清点和初检，然后在冲洗间里清洗干净，冲洗后的单体液压支柱运入液压支架支柱修理车间，单体支柱的拆卸在单体支柱拆卸机上进行。拆卸后的各零部件进行分类淸洗和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）缸体和活柱运到清洗处，缸体在缸体清洗梢内进行清洗；活柱可在活柱</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清洗槽及高温高压清洗机内进行清洗。缸体表面出现凹坑，尺寸不大于</w:t>
            </w:r>
            <w:r>
              <w:rPr>
                <w:rFonts w:hint="default" w:ascii="Times New Roman" w:hAnsi="Times New Roman" w:eastAsia="宋体" w:cs="Times New Roman"/>
                <w:color w:val="auto"/>
                <w:sz w:val="24"/>
                <w:szCs w:val="24"/>
                <w:lang w:val="en-US" w:eastAsia="zh-CN"/>
              </w:rPr>
              <w:t>2mm</w:t>
            </w:r>
            <w:r>
              <w:rPr>
                <w:rFonts w:hint="eastAsia" w:ascii="Times New Roman" w:hAnsi="Times New Roman" w:eastAsia="宋体" w:cs="Times New Roman"/>
                <w:color w:val="auto"/>
                <w:sz w:val="24"/>
                <w:szCs w:val="24"/>
                <w:lang w:val="en-US" w:eastAsia="zh-CN"/>
              </w:rPr>
              <w:t>时，可用缸体修复器修理。活柱弯曲度每长度</w:t>
            </w:r>
            <w:r>
              <w:rPr>
                <w:rFonts w:hint="default" w:ascii="Times New Roman" w:hAnsi="Times New Roman" w:eastAsia="宋体" w:cs="Times New Roman"/>
                <w:color w:val="auto"/>
                <w:sz w:val="24"/>
                <w:szCs w:val="24"/>
                <w:lang w:val="en-US" w:eastAsia="zh-CN"/>
              </w:rPr>
              <w:t>300mm</w:t>
            </w:r>
            <w:r>
              <w:rPr>
                <w:rFonts w:hint="eastAsia" w:ascii="Times New Roman" w:hAnsi="Times New Roman" w:eastAsia="宋体" w:cs="Times New Roman"/>
                <w:color w:val="auto"/>
                <w:sz w:val="24"/>
                <w:szCs w:val="24"/>
                <w:lang w:val="en-US" w:eastAsia="zh-CN"/>
              </w:rPr>
              <w:t>内小于</w:t>
            </w:r>
            <w:r>
              <w:rPr>
                <w:rFonts w:hint="default" w:ascii="Times New Roman" w:hAnsi="Times New Roman" w:eastAsia="宋体" w:cs="Times New Roman"/>
                <w:color w:val="auto"/>
                <w:sz w:val="24"/>
                <w:szCs w:val="24"/>
                <w:lang w:val="en-US" w:eastAsia="zh-CN"/>
              </w:rPr>
              <w:t>1mm</w:t>
            </w:r>
            <w:r>
              <w:rPr>
                <w:rFonts w:hint="eastAsia" w:ascii="Times New Roman" w:hAnsi="Times New Roman" w:eastAsia="宋体" w:cs="Times New Roman"/>
                <w:color w:val="auto"/>
                <w:sz w:val="24"/>
                <w:szCs w:val="24"/>
                <w:lang w:val="en-US" w:eastAsia="zh-CN"/>
              </w:rPr>
              <w:t>时，可在液压校直机上进行校直。</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）三用阀的修理，原则上更换全部密封圈，对一些易损件也应及时更换修理后的三用阀必须在试验台上进行性能试验。</w:t>
            </w:r>
          </w:p>
          <w:p>
            <w:pPr>
              <w:pStyle w:val="2"/>
              <w:ind w:left="0" w:leftChars="0" w:firstLine="0" w:firstLineChars="0"/>
              <w:jc w:val="center"/>
              <w:rPr>
                <w:rFonts w:hint="eastAsia" w:ascii="Times New Roman" w:hAnsi="Times New Roman" w:eastAsia="宋体"/>
                <w:lang w:val="en-US" w:eastAsia="zh-CN"/>
              </w:rPr>
            </w:pPr>
            <w:r>
              <w:rPr>
                <w:rFonts w:ascii="Times New Roman" w:hAnsi="Times New Roman" w:eastAsia="宋体"/>
              </w:rPr>
              <w:drawing>
                <wp:inline distT="0" distB="0" distL="114300" distR="114300">
                  <wp:extent cx="4704080" cy="2601595"/>
                  <wp:effectExtent l="0" t="0" r="1270" b="825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10"/>
                          <a:stretch>
                            <a:fillRect/>
                          </a:stretch>
                        </pic:blipFill>
                        <pic:spPr>
                          <a:xfrm>
                            <a:off x="0" y="0"/>
                            <a:ext cx="4704080" cy="2601595"/>
                          </a:xfrm>
                          <a:prstGeom prst="rect">
                            <a:avLst/>
                          </a:prstGeom>
                          <a:noFill/>
                          <a:ln>
                            <a:noFill/>
                          </a:ln>
                        </pic:spPr>
                      </pic:pic>
                    </a:graphicData>
                  </a:graphic>
                </wp:inline>
              </w:drawing>
            </w:r>
          </w:p>
          <w:p>
            <w:pPr>
              <w:widowControl/>
              <w:adjustRightInd w:val="0"/>
              <w:snapToGrid w:val="0"/>
              <w:spacing w:line="480" w:lineRule="exact"/>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val="0"/>
                <w:snapToGrid w:val="0"/>
                <w:color w:val="auto"/>
                <w:kern w:val="0"/>
                <w:szCs w:val="21"/>
                <w:lang w:val="en-US" w:eastAsia="zh-CN"/>
              </w:rPr>
              <w:t>图2单体液压支柱修理工艺流程及产污环节图</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二、矿山机械修理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(1)刮板输送机、带式输送机、转载机、破碎机等设备上重要的箱体、轴、齿轮等零件，采用探伤设备进行检验。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(2)零配件修复，轴类零部件一般采用堆焊、校直等工艺；结构件修复一般釆用校平、整形、补焊等工艺。</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(3)刮板输送机、带式输送机、转载机的减速器等须先进行空载跑合试验。减速箱正、反运转各30min。减速器作3h满负荷试验。减速器的平衡温度不得超过85°C。试验时，减速器的结合面和各轴头应无渗漏现象。</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（4）各种液压元件的密封性能试验和流量、压力、漏损等性能试验在油缸及阀组试验台上进行，各项指标均要达到额定值。</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（5）总装完毕后进行喷漆处理。</w:t>
            </w:r>
          </w:p>
          <w:p>
            <w:pPr>
              <w:rPr>
                <w:rFonts w:hint="eastAsia" w:ascii="Times New Roman" w:hAnsi="Times New Roman" w:eastAsia="宋体" w:cs="Times New Roman"/>
                <w:color w:val="auto"/>
                <w:sz w:val="24"/>
                <w:szCs w:val="24"/>
                <w:lang w:val="en-US" w:eastAsia="zh-CN"/>
              </w:rPr>
            </w:pPr>
            <w:r>
              <w:rPr>
                <w:rFonts w:ascii="Times New Roman" w:hAnsi="Times New Roman" w:eastAsia="宋体"/>
              </w:rPr>
              <w:drawing>
                <wp:anchor distT="0" distB="0" distL="114300" distR="114300" simplePos="0" relativeHeight="251675648" behindDoc="0" locked="0" layoutInCell="1" allowOverlap="1">
                  <wp:simplePos x="0" y="0"/>
                  <wp:positionH relativeFrom="column">
                    <wp:posOffset>156210</wp:posOffset>
                  </wp:positionH>
                  <wp:positionV relativeFrom="paragraph">
                    <wp:posOffset>157480</wp:posOffset>
                  </wp:positionV>
                  <wp:extent cx="5524500" cy="3175635"/>
                  <wp:effectExtent l="0" t="0" r="0" b="5715"/>
                  <wp:wrapNone/>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11"/>
                          <a:stretch>
                            <a:fillRect/>
                          </a:stretch>
                        </pic:blipFill>
                        <pic:spPr>
                          <a:xfrm>
                            <a:off x="0" y="0"/>
                            <a:ext cx="5524500" cy="3175635"/>
                          </a:xfrm>
                          <a:prstGeom prst="rect">
                            <a:avLst/>
                          </a:prstGeom>
                          <a:noFill/>
                          <a:ln>
                            <a:noFill/>
                          </a:ln>
                        </pic:spPr>
                      </pic:pic>
                    </a:graphicData>
                  </a:graphic>
                </wp:anchor>
              </w:drawing>
            </w: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r>
              <w:rPr>
                <w:rFonts w:hint="eastAsia" w:ascii="Times New Roman" w:hAnsi="Times New Roman" w:eastAsia="宋体" w:cs="Times New Roman"/>
                <w:b/>
                <w:bCs w:val="0"/>
                <w:snapToGrid w:val="0"/>
                <w:color w:val="auto"/>
                <w:kern w:val="0"/>
                <w:szCs w:val="21"/>
                <w:lang w:val="en-US" w:eastAsia="zh-CN"/>
              </w:rPr>
              <w:t>图3液压支架修理工艺流程及产污环节图</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三、采掘设备修理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进机电设备修理中心修理的设备需要统一在设备冲洗间进行外部冲洗，然后再分别送到车间的各个修理台位进行检查、分解；修复或更换磨损到限的零件等工作；各部件组装、试验、检验合格后进行总装配和整机试验；试运转合格后进行喷漆处理。修复后的租赁设备运到机电设备租赁站的设备库存放或直接送往各矿。</w:t>
            </w:r>
          </w:p>
          <w:p>
            <w:pPr>
              <w:pStyle w:val="2"/>
              <w:ind w:left="0" w:leftChars="0" w:firstLine="0" w:firstLineChars="0"/>
              <w:jc w:val="center"/>
              <w:rPr>
                <w:rFonts w:ascii="Times New Roman" w:hAnsi="Times New Roman" w:eastAsia="宋体"/>
              </w:rPr>
            </w:pPr>
            <w:r>
              <w:rPr>
                <w:rFonts w:ascii="Times New Roman" w:hAnsi="Times New Roman" w:eastAsia="宋体"/>
              </w:rPr>
              <w:drawing>
                <wp:inline distT="0" distB="0" distL="114300" distR="114300">
                  <wp:extent cx="5210175" cy="7928610"/>
                  <wp:effectExtent l="0" t="0" r="9525" b="1524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12"/>
                          <a:stretch>
                            <a:fillRect/>
                          </a:stretch>
                        </pic:blipFill>
                        <pic:spPr>
                          <a:xfrm>
                            <a:off x="0" y="0"/>
                            <a:ext cx="5210175" cy="7928610"/>
                          </a:xfrm>
                          <a:prstGeom prst="rect">
                            <a:avLst/>
                          </a:prstGeom>
                          <a:noFill/>
                          <a:ln>
                            <a:noFill/>
                          </a:ln>
                        </pic:spPr>
                      </pic:pic>
                    </a:graphicData>
                  </a:graphic>
                </wp:inline>
              </w:drawing>
            </w:r>
          </w:p>
          <w:p>
            <w:pPr>
              <w:widowControl/>
              <w:adjustRightInd w:val="0"/>
              <w:snapToGrid w:val="0"/>
              <w:spacing w:line="480" w:lineRule="exact"/>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宋体"/>
                <w:b/>
                <w:bCs/>
                <w:color w:val="000000"/>
                <w:kern w:val="0"/>
                <w:sz w:val="21"/>
                <w:szCs w:val="21"/>
                <w:lang w:val="en-US" w:eastAsia="zh-CN" w:bidi="ar"/>
              </w:rPr>
              <w:t>图4采掘设备大修工艺及产污环节流程图</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四、液压支架修理工艺流程说明：</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液压支架用汽车从矿区运至本机修车间，经清洗区高压清洗支架外部，清除掉支架表面的浮煤、杂质和杂物；然后用蓄电池电动平板车或胶轮平板车将支架运入本车间进行解体，首先拆卸阀组和管路，解体后的零部件分别送到本中心内南侧液压支架支柱修理车间各修理组进行零部件的清洗和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立柱和千斤顶在立柱拆装机上拆卸导向套等，然后抽出活柱。将拆卸后的各种零件进行清洗，缸体和活柱采用冷热水高压清洗机清洗，活柱表面电镀层出现的小点锈蚀，可用不锈钢焊条补焊进行修复。锈蚀严重或镀层脱落的外委修复。立柱和千斤顶修理后必须进行灵活性试验及高低压密封性能试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）解体后的阀件用振动清洗机清洗。阀件修理原则上更换全部密封件，对易损件要及时更换。修理后的阀件必须做动作灵活性试验，高低压密封试验，流量性能试验。对安全阀和卸载阀要进行压力调整标定。</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）一般的结构件修复可以在液压支架修理车间和液压支架支柱修理车间进行，变形严重的大型结构件的整形、修复和配制工作由铆焊车间承担。</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）零部件检修、修复后运往北侧液压支架修理车间进行组装，总装后的液压支架进行外观检查、灵活性试验，密封性能试验。每批支架抽</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，在整架试验台上作初撑力及额定工作阻力试验和测定。</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液压支架的一般检修工艺过程和措施根据设备状态确定，对检查出有问题的部分进行重点修理；对其损坏严重的按液压支架大修工艺流程进行。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tabs>
                <w:tab w:val="left" w:pos="6120"/>
                <w:tab w:val="left" w:pos="6300"/>
              </w:tabs>
              <w:adjustRightInd w:val="0"/>
              <w:snapToGrid w:val="0"/>
              <w:spacing w:line="360" w:lineRule="auto"/>
              <w:rPr>
                <w:rFonts w:hint="eastAsia" w:ascii="Times New Roman" w:hAnsi="Times New Roman" w:eastAsia="宋体"/>
                <w:color w:val="auto"/>
              </w:rPr>
            </w:pPr>
          </w:p>
          <w:p>
            <w:pPr>
              <w:tabs>
                <w:tab w:val="left" w:pos="6120"/>
                <w:tab w:val="left" w:pos="6300"/>
              </w:tabs>
              <w:adjustRightInd w:val="0"/>
              <w:snapToGrid w:val="0"/>
              <w:spacing w:line="360" w:lineRule="auto"/>
              <w:jc w:val="center"/>
              <w:rPr>
                <w:rFonts w:ascii="Times New Roman" w:hAnsi="Times New Roman" w:eastAsia="宋体"/>
              </w:rPr>
            </w:pPr>
            <w:r>
              <w:rPr>
                <w:rFonts w:ascii="Times New Roman" w:hAnsi="Times New Roman" w:eastAsia="宋体"/>
              </w:rPr>
              <w:drawing>
                <wp:inline distT="0" distB="0" distL="114300" distR="114300">
                  <wp:extent cx="3796665" cy="5718175"/>
                  <wp:effectExtent l="0" t="0" r="13335" b="15875"/>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13"/>
                          <a:stretch>
                            <a:fillRect/>
                          </a:stretch>
                        </pic:blipFill>
                        <pic:spPr>
                          <a:xfrm>
                            <a:off x="0" y="0"/>
                            <a:ext cx="3796665" cy="5718175"/>
                          </a:xfrm>
                          <a:prstGeom prst="rect">
                            <a:avLst/>
                          </a:prstGeom>
                          <a:noFill/>
                          <a:ln>
                            <a:noFill/>
                          </a:ln>
                        </pic:spPr>
                      </pic:pic>
                    </a:graphicData>
                  </a:graphic>
                </wp:inline>
              </w:drawing>
            </w: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lang w:val="en-US" w:eastAsia="zh-CN"/>
              </w:rPr>
            </w:pPr>
            <w:r>
              <w:rPr>
                <w:rFonts w:hint="eastAsia" w:ascii="Times New Roman" w:hAnsi="Times New Roman" w:eastAsia="宋体" w:cs="Times New Roman"/>
                <w:b/>
                <w:bCs w:val="0"/>
                <w:snapToGrid w:val="0"/>
                <w:color w:val="auto"/>
                <w:kern w:val="0"/>
                <w:szCs w:val="21"/>
                <w:lang w:val="en-US" w:eastAsia="zh-CN"/>
              </w:rPr>
              <w:t>图5液压支架修理工艺流程及产污环节图</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五、变压器修理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）对变压器进行外观检查，其变压器身是否存在变形，附件是否齐全；</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）对变压器芯进行吊芯检查；</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）对变压器做工频变压、直流电阻、变比等常规试验：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）对变压器绝缘套管及绝缘子进行耐压试验：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）检查穿芯杆与铁轨夹件的绝缘是否良好，紧固是否可靠；</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）检查绕组线圈焊点是否合格，绝缘是否符合要求；</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lang w:val="en-US" w:eastAsia="zh-CN"/>
              </w:rPr>
              <w:t>）根据实际情况对变压器进行干燥处理至规定要求；</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lang w:val="en-US" w:eastAsia="zh-CN"/>
              </w:rPr>
              <w:t>）对已装好的变压器进行绝缘电阻、电压比、直流泄露和交流耐压试验、空载试验及全电压合闸冲击试验；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9</w:t>
            </w:r>
            <w:r>
              <w:rPr>
                <w:rFonts w:hint="eastAsia" w:ascii="Times New Roman" w:hAnsi="Times New Roman" w:eastAsia="宋体" w:cs="Times New Roman"/>
                <w:color w:val="auto"/>
                <w:sz w:val="24"/>
                <w:szCs w:val="24"/>
                <w:lang w:val="en-US" w:eastAsia="zh-CN"/>
              </w:rPr>
              <w:t>）对变压器整机喷漆。</w:t>
            </w:r>
          </w:p>
          <w:p>
            <w:pPr>
              <w:pStyle w:val="2"/>
              <w:rPr>
                <w:rFonts w:hint="eastAsia" w:ascii="Times New Roman" w:hAnsi="Times New Roman" w:eastAsia="宋体" w:cs="Times New Roman"/>
                <w:color w:val="auto"/>
                <w:sz w:val="24"/>
                <w:szCs w:val="24"/>
                <w:lang w:val="en-US" w:eastAsia="zh-CN"/>
              </w:rPr>
            </w:pPr>
            <w:r>
              <w:rPr>
                <w:rFonts w:ascii="Times New Roman" w:hAnsi="Times New Roman" w:eastAsia="宋体"/>
              </w:rPr>
              <w:drawing>
                <wp:anchor distT="0" distB="0" distL="114300" distR="114300" simplePos="0" relativeHeight="251676672" behindDoc="0" locked="0" layoutInCell="1" allowOverlap="1">
                  <wp:simplePos x="0" y="0"/>
                  <wp:positionH relativeFrom="column">
                    <wp:posOffset>222885</wp:posOffset>
                  </wp:positionH>
                  <wp:positionV relativeFrom="paragraph">
                    <wp:posOffset>217170</wp:posOffset>
                  </wp:positionV>
                  <wp:extent cx="5311140" cy="7695565"/>
                  <wp:effectExtent l="0" t="0" r="3810" b="635"/>
                  <wp:wrapNone/>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14"/>
                          <a:stretch>
                            <a:fillRect/>
                          </a:stretch>
                        </pic:blipFill>
                        <pic:spPr>
                          <a:xfrm>
                            <a:off x="0" y="0"/>
                            <a:ext cx="5311140" cy="7695565"/>
                          </a:xfrm>
                          <a:prstGeom prst="rect">
                            <a:avLst/>
                          </a:prstGeom>
                          <a:noFill/>
                          <a:ln>
                            <a:noFill/>
                          </a:ln>
                        </pic:spPr>
                      </pic:pic>
                    </a:graphicData>
                  </a:graphic>
                </wp:anchor>
              </w:drawing>
            </w: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pStyle w:val="2"/>
              <w:ind w:left="0" w:leftChars="0" w:firstLine="0" w:firstLineChars="0"/>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keepNext w:val="0"/>
              <w:keepLines w:val="0"/>
              <w:widowControl/>
              <w:suppressLineNumbers w:val="0"/>
              <w:jc w:val="center"/>
              <w:rPr>
                <w:rFonts w:hint="eastAsia" w:ascii="Times New Roman" w:hAnsi="Times New Roman" w:eastAsia="宋体" w:cs="宋体"/>
                <w:b/>
                <w:bCs/>
                <w:color w:val="000000"/>
                <w:kern w:val="0"/>
                <w:sz w:val="20"/>
                <w:szCs w:val="20"/>
                <w:lang w:val="en-US" w:eastAsia="zh-CN" w:bidi="ar"/>
              </w:rPr>
            </w:pPr>
          </w:p>
          <w:p>
            <w:pPr>
              <w:widowControl/>
              <w:adjustRightInd w:val="0"/>
              <w:snapToGrid w:val="0"/>
              <w:spacing w:line="440" w:lineRule="atLeast"/>
              <w:jc w:val="center"/>
              <w:rPr>
                <w:rFonts w:hint="eastAsia" w:ascii="Times New Roman" w:hAnsi="Times New Roman" w:eastAsia="宋体" w:cs="宋体"/>
                <w:b/>
                <w:bCs/>
                <w:color w:val="000000"/>
                <w:kern w:val="0"/>
                <w:sz w:val="21"/>
                <w:szCs w:val="21"/>
                <w:lang w:val="en-US" w:eastAsia="zh-CN" w:bidi="ar"/>
              </w:rPr>
            </w:pPr>
          </w:p>
          <w:p>
            <w:pPr>
              <w:widowControl/>
              <w:adjustRightInd w:val="0"/>
              <w:snapToGrid w:val="0"/>
              <w:spacing w:line="440" w:lineRule="atLeast"/>
              <w:jc w:val="center"/>
              <w:rPr>
                <w:rFonts w:hint="eastAsia" w:ascii="Times New Roman" w:hAnsi="Times New Roman" w:eastAsia="宋体" w:cs="宋体"/>
                <w:b/>
                <w:bCs/>
                <w:color w:val="000000"/>
                <w:kern w:val="0"/>
                <w:sz w:val="21"/>
                <w:szCs w:val="21"/>
                <w:lang w:val="en-US" w:eastAsia="zh-CN" w:bidi="ar"/>
              </w:rPr>
            </w:pPr>
          </w:p>
          <w:p>
            <w:pPr>
              <w:widowControl/>
              <w:adjustRightInd w:val="0"/>
              <w:snapToGrid w:val="0"/>
              <w:spacing w:line="440" w:lineRule="atLeast"/>
              <w:jc w:val="center"/>
              <w:rPr>
                <w:rFonts w:hint="eastAsia" w:ascii="Times New Roman" w:hAnsi="Times New Roman" w:eastAsia="宋体" w:cs="宋体"/>
                <w:b/>
                <w:bCs/>
                <w:color w:val="000000"/>
                <w:kern w:val="0"/>
                <w:sz w:val="21"/>
                <w:szCs w:val="21"/>
                <w:lang w:val="en-US" w:eastAsia="zh-CN" w:bidi="ar"/>
              </w:rPr>
            </w:pPr>
          </w:p>
          <w:p>
            <w:pPr>
              <w:widowControl/>
              <w:adjustRightInd w:val="0"/>
              <w:snapToGrid w:val="0"/>
              <w:spacing w:line="440" w:lineRule="atLeast"/>
              <w:jc w:val="center"/>
              <w:rPr>
                <w:rFonts w:hint="eastAsia" w:ascii="Times New Roman" w:hAnsi="Times New Roman" w:eastAsia="宋体" w:cs="宋体"/>
                <w:b/>
                <w:bCs/>
                <w:color w:val="000000"/>
                <w:kern w:val="0"/>
                <w:sz w:val="21"/>
                <w:szCs w:val="21"/>
                <w:lang w:val="en-US" w:eastAsia="zh-CN" w:bidi="ar"/>
              </w:rPr>
            </w:pPr>
          </w:p>
          <w:p>
            <w:pPr>
              <w:widowControl/>
              <w:adjustRightInd w:val="0"/>
              <w:snapToGrid w:val="0"/>
              <w:spacing w:line="440" w:lineRule="atLeast"/>
              <w:jc w:val="center"/>
              <w:rPr>
                <w:rFonts w:hint="eastAsia" w:ascii="Times New Roman" w:hAnsi="Times New Roman" w:eastAsia="宋体" w:cs="宋体"/>
                <w:b/>
                <w:bCs/>
                <w:color w:val="000000"/>
                <w:kern w:val="0"/>
                <w:sz w:val="21"/>
                <w:szCs w:val="21"/>
                <w:lang w:val="en-US" w:eastAsia="zh-CN" w:bidi="ar"/>
              </w:rPr>
            </w:pPr>
            <w:r>
              <w:rPr>
                <w:rFonts w:hint="eastAsia" w:ascii="Times New Roman" w:hAnsi="Times New Roman" w:eastAsia="宋体" w:cs="宋体"/>
                <w:b/>
                <w:bCs/>
                <w:color w:val="000000"/>
                <w:kern w:val="0"/>
                <w:sz w:val="21"/>
                <w:szCs w:val="21"/>
                <w:lang w:val="en-US" w:eastAsia="zh-CN" w:bidi="ar"/>
              </w:rPr>
              <w:t>图6采掘设备大修工艺及产污环节流程图</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六、电动机修理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）检查电机外观，清理外部；</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）分解电机，各部件作标识存放、检测；</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）检查定子线圈、转子线圈、铁芯叠片，槽楔、防水密封、冷却水路及防爆结合面；</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）检查转子铜条、内风叶、铁芯叠片及锁紧装置；</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）对电机定子、转子线圈做耐压试验、直流电阻测试、对地电阻测试及直流泄露测试；</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）对转子做静平衡、动平衡试验；</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lang w:val="en-US" w:eastAsia="zh-CN"/>
              </w:rPr>
              <w:t>）检测电机轴装配各部件尺寸，对磨损处根据实际情况进行喷涂、冷焊或补焊等修复处理：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lang w:val="en-US" w:eastAsia="zh-CN"/>
              </w:rPr>
              <w:t>）检测轴承、轴承杯等部件，对不合格的予以更换处理；</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9</w:t>
            </w:r>
            <w:r>
              <w:rPr>
                <w:rFonts w:hint="eastAsia" w:ascii="Times New Roman" w:hAnsi="Times New Roman" w:eastAsia="宋体" w:cs="Times New Roman"/>
                <w:color w:val="auto"/>
                <w:sz w:val="24"/>
                <w:szCs w:val="24"/>
                <w:lang w:val="en-US" w:eastAsia="zh-CN"/>
              </w:rPr>
              <w:t>）对防爆接线腔及插座进行检查，对不合格的予以更换。对电机冷却水路</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水冷电机</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进行清洗，并做水压测试；</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lang w:val="en-US" w:eastAsia="zh-CN"/>
              </w:rPr>
              <w:t>）对组装好的电机进行空载试运转，测试电压、电流及转速；对电机的，振动、噪声进行测试；</w:t>
            </w:r>
          </w:p>
          <w:p>
            <w:pPr>
              <w:widowControl/>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11</w:t>
            </w:r>
            <w:r>
              <w:rPr>
                <w:rFonts w:hint="eastAsia" w:ascii="Times New Roman" w:hAnsi="Times New Roman" w:eastAsia="宋体" w:cs="Times New Roman"/>
                <w:color w:val="auto"/>
                <w:sz w:val="24"/>
                <w:szCs w:val="24"/>
                <w:lang w:val="en-US" w:eastAsia="zh-CN"/>
              </w:rPr>
              <w:t>）测试合格后进行整机喷漆。</w:t>
            </w:r>
          </w:p>
          <w:p>
            <w:pPr>
              <w:widowControl/>
              <w:adjustRightInd w:val="0"/>
              <w:snapToGrid w:val="0"/>
              <w:spacing w:line="440" w:lineRule="atLeast"/>
              <w:ind w:firstLine="480" w:firstLineChars="200"/>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pStyle w:val="2"/>
              <w:rPr>
                <w:rFonts w:hint="eastAsia" w:ascii="Times New Roman" w:hAnsi="Times New Roman" w:eastAsia="宋体" w:cs="Times New Roman"/>
                <w:color w:val="auto"/>
                <w:sz w:val="24"/>
                <w:szCs w:val="24"/>
                <w:lang w:val="en-US" w:eastAsia="zh-CN"/>
              </w:rPr>
            </w:pPr>
          </w:p>
          <w:p>
            <w:pPr>
              <w:rPr>
                <w:rFonts w:hint="eastAsia" w:ascii="Times New Roman" w:hAnsi="Times New Roman" w:eastAsia="宋体" w:cs="Times New Roman"/>
                <w:color w:val="auto"/>
                <w:sz w:val="24"/>
                <w:szCs w:val="24"/>
                <w:lang w:val="en-US" w:eastAsia="zh-CN"/>
              </w:rPr>
            </w:pPr>
          </w:p>
          <w:p>
            <w:pPr>
              <w:jc w:val="center"/>
              <w:rPr>
                <w:rFonts w:hint="default" w:ascii="Times New Roman" w:hAnsi="Times New Roman" w:eastAsia="宋体" w:cs="Times New Roman"/>
                <w:color w:val="auto"/>
                <w:sz w:val="24"/>
                <w:szCs w:val="24"/>
                <w:lang w:val="en-US" w:eastAsia="zh-CN"/>
              </w:rPr>
            </w:pPr>
            <w:r>
              <w:rPr>
                <w:rFonts w:ascii="Times New Roman" w:hAnsi="Times New Roman" w:eastAsia="宋体"/>
              </w:rPr>
              <w:drawing>
                <wp:inline distT="0" distB="0" distL="114300" distR="114300">
                  <wp:extent cx="4286885" cy="6220460"/>
                  <wp:effectExtent l="0" t="0" r="18415" b="8890"/>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15"/>
                          <a:stretch>
                            <a:fillRect/>
                          </a:stretch>
                        </pic:blipFill>
                        <pic:spPr>
                          <a:xfrm>
                            <a:off x="0" y="0"/>
                            <a:ext cx="4286885" cy="6220460"/>
                          </a:xfrm>
                          <a:prstGeom prst="rect">
                            <a:avLst/>
                          </a:prstGeom>
                          <a:noFill/>
                          <a:ln>
                            <a:noFill/>
                          </a:ln>
                        </pic:spPr>
                      </pic:pic>
                    </a:graphicData>
                  </a:graphic>
                </wp:inline>
              </w:drawing>
            </w:r>
          </w:p>
          <w:p>
            <w:pPr>
              <w:widowControl/>
              <w:adjustRightInd w:val="0"/>
              <w:snapToGrid w:val="0"/>
              <w:spacing w:line="440" w:lineRule="atLeast"/>
              <w:jc w:val="center"/>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宋体"/>
                <w:b/>
                <w:bCs/>
                <w:color w:val="000000"/>
                <w:kern w:val="0"/>
                <w:sz w:val="21"/>
                <w:szCs w:val="21"/>
                <w:lang w:val="en-US" w:eastAsia="zh-CN" w:bidi="ar"/>
              </w:rPr>
              <w:t>图7电动机修理工艺及产污环节流程图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tcBorders>
              <w:tl2br w:val="nil"/>
              <w:tr2bl w:val="nil"/>
            </w:tcBorders>
            <w:vAlign w:val="center"/>
          </w:tcPr>
          <w:p>
            <w:pPr>
              <w:spacing w:line="460" w:lineRule="exact"/>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与项目有关的原有环境污染问题</w:t>
            </w:r>
          </w:p>
        </w:tc>
        <w:tc>
          <w:tcPr>
            <w:tcW w:w="4580" w:type="pct"/>
            <w:tcBorders>
              <w:tl2br w:val="nil"/>
              <w:tr2bl w:val="nil"/>
            </w:tcBorders>
            <w:vAlign w:val="center"/>
          </w:tcPr>
          <w:p>
            <w:pPr>
              <w:autoSpaceDE w:val="0"/>
              <w:autoSpaceDN w:val="0"/>
              <w:spacing w:line="46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本项目为新建项目，现场踏勘期间，本项目还未开工建设，占地范围内地势平坦、地表土壤裸露且无任何建构筑物，不涉及与项目有关的原有环境污染问题。</w:t>
            </w:r>
          </w:p>
          <w:p>
            <w:pPr>
              <w:autoSpaceDE w:val="0"/>
              <w:autoSpaceDN w:val="0"/>
              <w:spacing w:line="460" w:lineRule="exact"/>
              <w:rPr>
                <w:rFonts w:ascii="Times New Roman" w:hAnsi="Times New Roman" w:eastAsia="宋体" w:cs="Times New Roman"/>
                <w:color w:val="auto"/>
                <w:kern w:val="0"/>
                <w:sz w:val="24"/>
                <w:szCs w:val="24"/>
              </w:rPr>
            </w:pPr>
          </w:p>
        </w:tc>
      </w:tr>
    </w:tbl>
    <w:p>
      <w:pPr>
        <w:rPr>
          <w:rFonts w:ascii="Times New Roman" w:hAnsi="Times New Roman" w:eastAsia="宋体"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Lines="50" w:after="120" w:afterLines="50" w:line="240" w:lineRule="auto"/>
        <w:ind w:left="0" w:firstLine="0"/>
        <w:jc w:val="center"/>
        <w:rPr>
          <w:rFonts w:ascii="Times New Roman" w:hAnsi="Times New Roman" w:eastAsia="宋体"/>
          <w:b w:val="0"/>
          <w:bCs w:val="0"/>
          <w:color w:val="auto"/>
        </w:rPr>
      </w:pPr>
      <w:r>
        <w:rPr>
          <w:rFonts w:ascii="Times New Roman" w:hAnsi="Times New Roman" w:eastAsia="宋体"/>
          <w:b w:val="0"/>
          <w:bCs w:val="0"/>
          <w:color w:val="auto"/>
        </w:rPr>
        <w:t>三、区域环境质量现状、环境保护目标及评价标准</w:t>
      </w:r>
    </w:p>
    <w:tbl>
      <w:tblPr>
        <w:tblStyle w:val="20"/>
        <w:tblW w:w="10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区域环境质量现状</w:t>
            </w:r>
          </w:p>
        </w:tc>
        <w:tc>
          <w:tcPr>
            <w:tcW w:w="98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auto"/>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一</w:t>
            </w:r>
            <w:r>
              <w:rPr>
                <w:rFonts w:ascii="Times New Roman" w:hAnsi="Times New Roman" w:eastAsia="宋体"/>
                <w:color w:val="auto"/>
                <w:sz w:val="24"/>
                <w:szCs w:val="24"/>
              </w:rPr>
              <w:t>、环境空气质量现状</w:t>
            </w:r>
          </w:p>
          <w:p>
            <w:pPr>
              <w:widowControl/>
              <w:adjustRightInd w:val="0"/>
              <w:snapToGrid w:val="0"/>
              <w:spacing w:line="480" w:lineRule="exact"/>
              <w:jc w:val="center"/>
              <w:rPr>
                <w:rFonts w:ascii="Times New Roman" w:hAnsi="Times New Roman" w:eastAsia="宋体"/>
                <w:color w:val="auto"/>
              </w:rPr>
            </w:pPr>
            <w:r>
              <w:rPr>
                <w:rFonts w:ascii="Times New Roman" w:hAnsi="Times New Roman" w:eastAsia="宋体"/>
                <w:color w:val="auto"/>
              </w:rPr>
              <w:t>表1</w:t>
            </w:r>
            <w:r>
              <w:rPr>
                <w:rFonts w:hint="eastAsia" w:ascii="Times New Roman" w:hAnsi="Times New Roman" w:eastAsia="宋体"/>
                <w:color w:val="auto"/>
                <w:lang w:val="en-US" w:eastAsia="zh-CN"/>
              </w:rPr>
              <w:t>2</w:t>
            </w:r>
            <w:r>
              <w:rPr>
                <w:rFonts w:ascii="Times New Roman" w:hAnsi="Times New Roman" w:eastAsia="宋体"/>
                <w:color w:val="auto"/>
              </w:rPr>
              <w:t>柳林县2020年环境空气质量例行监测结果一览表</w:t>
            </w:r>
          </w:p>
          <w:tbl>
            <w:tblPr>
              <w:tblStyle w:val="20"/>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78"/>
              <w:gridCol w:w="2669"/>
              <w:gridCol w:w="1289"/>
              <w:gridCol w:w="1314"/>
              <w:gridCol w:w="1044"/>
              <w:gridCol w:w="1107"/>
              <w:gridCol w:w="10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监测项目</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平均时间</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浓度监测值</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浓度标准值</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占标率</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超标倍数</w:t>
                  </w:r>
                </w:p>
              </w:tc>
              <w:tc>
                <w:tcPr>
                  <w:tcW w:w="1080" w:type="dxa"/>
                  <w:vAlign w:val="center"/>
                </w:tcPr>
                <w:p>
                  <w:pPr>
                    <w:adjustRightInd w:val="0"/>
                    <w:jc w:val="center"/>
                    <w:rPr>
                      <w:rFonts w:ascii="Times New Roman" w:hAnsi="Times New Roman" w:eastAsia="宋体"/>
                      <w:color w:val="auto"/>
                    </w:rPr>
                  </w:pPr>
                  <w:r>
                    <w:rPr>
                      <w:rFonts w:ascii="Times New Roman" w:hAnsi="Times New Roman" w:eastAsia="宋体"/>
                      <w:color w:val="auto"/>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SO</w:t>
                  </w:r>
                  <w:r>
                    <w:rPr>
                      <w:rFonts w:ascii="Times New Roman" w:hAnsi="Times New Roman" w:eastAsia="宋体"/>
                      <w:color w:val="auto"/>
                      <w:vertAlign w:val="subscript"/>
                    </w:rPr>
                    <w:t>2</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年平均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31μg/m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60μg/m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51.67%</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w:t>
                  </w:r>
                </w:p>
              </w:tc>
              <w:tc>
                <w:tcPr>
                  <w:tcW w:w="1080" w:type="dxa"/>
                  <w:vAlign w:val="center"/>
                </w:tcPr>
                <w:p>
                  <w:pPr>
                    <w:adjustRightInd w:val="0"/>
                    <w:jc w:val="center"/>
                    <w:rPr>
                      <w:rFonts w:ascii="Times New Roman" w:hAnsi="Times New Roman" w:eastAsia="宋体"/>
                      <w:color w:val="auto"/>
                    </w:rPr>
                  </w:pPr>
                  <w:r>
                    <w:rPr>
                      <w:rFonts w:ascii="Times New Roman" w:hAnsi="Times New Roman" w:eastAsia="宋体"/>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4"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NO</w:t>
                  </w:r>
                  <w:r>
                    <w:rPr>
                      <w:rFonts w:ascii="Times New Roman" w:hAnsi="Times New Roman" w:eastAsia="宋体"/>
                      <w:color w:val="auto"/>
                      <w:vertAlign w:val="subscript"/>
                    </w:rPr>
                    <w:t>2</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年平均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43μg/m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40μg/m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107.50%</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0.08</w:t>
                  </w:r>
                </w:p>
              </w:tc>
              <w:tc>
                <w:tcPr>
                  <w:tcW w:w="1080" w:type="dxa"/>
                  <w:vAlign w:val="center"/>
                </w:tcPr>
                <w:p>
                  <w:pPr>
                    <w:adjustRightInd w:val="0"/>
                    <w:snapToGrid w:val="0"/>
                    <w:jc w:val="center"/>
                    <w:rPr>
                      <w:rFonts w:ascii="Times New Roman" w:hAnsi="Times New Roman" w:eastAsia="宋体"/>
                      <w:color w:val="auto"/>
                    </w:rPr>
                  </w:pPr>
                  <w:r>
                    <w:rPr>
                      <w:rFonts w:ascii="Times New Roman" w:hAnsi="Times New Roman" w:eastAsia="宋体"/>
                      <w:color w:val="auto"/>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CO</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95%顺位24小时平均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2mg/m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4mg/m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50.00%</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w:t>
                  </w:r>
                </w:p>
              </w:tc>
              <w:tc>
                <w:tcPr>
                  <w:tcW w:w="1080" w:type="dxa"/>
                  <w:vAlign w:val="center"/>
                </w:tcPr>
                <w:p>
                  <w:pPr>
                    <w:adjustRightInd w:val="0"/>
                    <w:snapToGrid w:val="0"/>
                    <w:jc w:val="center"/>
                    <w:rPr>
                      <w:rFonts w:ascii="Times New Roman" w:hAnsi="Times New Roman" w:eastAsia="宋体"/>
                      <w:color w:val="auto"/>
                    </w:rPr>
                  </w:pPr>
                  <w:r>
                    <w:rPr>
                      <w:rFonts w:ascii="Times New Roman" w:hAnsi="Times New Roman" w:eastAsia="宋体"/>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O</w:t>
                  </w:r>
                  <w:r>
                    <w:rPr>
                      <w:rFonts w:ascii="Times New Roman" w:hAnsi="Times New Roman" w:eastAsia="宋体"/>
                      <w:color w:val="auto"/>
                      <w:vertAlign w:val="subscript"/>
                    </w:rPr>
                    <w:t>3</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90%顺位日最大8小时平均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141μg/m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160μg/m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88.13%</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w:t>
                  </w:r>
                </w:p>
              </w:tc>
              <w:tc>
                <w:tcPr>
                  <w:tcW w:w="1080" w:type="dxa"/>
                  <w:vAlign w:val="center"/>
                </w:tcPr>
                <w:p>
                  <w:pPr>
                    <w:adjustRightInd w:val="0"/>
                    <w:snapToGrid w:val="0"/>
                    <w:jc w:val="center"/>
                    <w:rPr>
                      <w:rFonts w:ascii="Times New Roman" w:hAnsi="Times New Roman" w:eastAsia="宋体"/>
                      <w:color w:val="auto"/>
                    </w:rPr>
                  </w:pPr>
                  <w:r>
                    <w:rPr>
                      <w:rFonts w:ascii="Times New Roman" w:hAnsi="Times New Roman" w:eastAsia="宋体"/>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PM</w:t>
                  </w:r>
                  <w:r>
                    <w:rPr>
                      <w:rFonts w:ascii="Times New Roman" w:hAnsi="Times New Roman" w:eastAsia="宋体"/>
                      <w:color w:val="auto"/>
                      <w:vertAlign w:val="subscript"/>
                    </w:rPr>
                    <w:t>10</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年平均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101μg/m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70μg/m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144.29%</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0.44</w:t>
                  </w:r>
                </w:p>
              </w:tc>
              <w:tc>
                <w:tcPr>
                  <w:tcW w:w="1080" w:type="dxa"/>
                  <w:vAlign w:val="center"/>
                </w:tcPr>
                <w:p>
                  <w:pPr>
                    <w:adjustRightInd w:val="0"/>
                    <w:snapToGrid w:val="0"/>
                    <w:jc w:val="center"/>
                    <w:rPr>
                      <w:rFonts w:ascii="Times New Roman" w:hAnsi="Times New Roman" w:eastAsia="宋体"/>
                      <w:color w:val="auto"/>
                    </w:rPr>
                  </w:pPr>
                  <w:r>
                    <w:rPr>
                      <w:rFonts w:ascii="Times New Roman" w:hAnsi="Times New Roman" w:eastAsia="宋体"/>
                      <w:color w:val="auto"/>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0" w:hRule="atLeast"/>
                <w:jc w:val="center"/>
              </w:trPr>
              <w:tc>
                <w:tcPr>
                  <w:tcW w:w="1078" w:type="dxa"/>
                  <w:vAlign w:val="center"/>
                </w:tcPr>
                <w:p>
                  <w:pPr>
                    <w:adjustRightInd w:val="0"/>
                    <w:jc w:val="center"/>
                    <w:rPr>
                      <w:rFonts w:ascii="Times New Roman" w:hAnsi="Times New Roman" w:eastAsia="宋体"/>
                      <w:color w:val="auto"/>
                    </w:rPr>
                  </w:pPr>
                  <w:r>
                    <w:rPr>
                      <w:rFonts w:ascii="Times New Roman" w:hAnsi="Times New Roman" w:eastAsia="宋体"/>
                      <w:color w:val="auto"/>
                    </w:rPr>
                    <w:t>PM</w:t>
                  </w:r>
                  <w:r>
                    <w:rPr>
                      <w:rFonts w:ascii="Times New Roman" w:hAnsi="Times New Roman" w:eastAsia="宋体"/>
                      <w:color w:val="auto"/>
                      <w:vertAlign w:val="subscript"/>
                    </w:rPr>
                    <w:t>2.5</w:t>
                  </w:r>
                </w:p>
              </w:tc>
              <w:tc>
                <w:tcPr>
                  <w:tcW w:w="2669" w:type="dxa"/>
                  <w:vAlign w:val="center"/>
                </w:tcPr>
                <w:p>
                  <w:pPr>
                    <w:adjustRightInd w:val="0"/>
                    <w:jc w:val="center"/>
                    <w:rPr>
                      <w:rFonts w:ascii="Times New Roman" w:hAnsi="Times New Roman" w:eastAsia="宋体"/>
                      <w:color w:val="auto"/>
                    </w:rPr>
                  </w:pPr>
                  <w:r>
                    <w:rPr>
                      <w:rFonts w:ascii="Times New Roman" w:hAnsi="Times New Roman" w:eastAsia="宋体"/>
                      <w:color w:val="auto"/>
                    </w:rPr>
                    <w:t>年平均</w:t>
                  </w:r>
                </w:p>
              </w:tc>
              <w:tc>
                <w:tcPr>
                  <w:tcW w:w="1289" w:type="dxa"/>
                  <w:vAlign w:val="center"/>
                </w:tcPr>
                <w:p>
                  <w:pPr>
                    <w:adjustRightInd w:val="0"/>
                    <w:jc w:val="center"/>
                    <w:rPr>
                      <w:rFonts w:ascii="Times New Roman" w:hAnsi="Times New Roman" w:eastAsia="宋体"/>
                      <w:color w:val="auto"/>
                    </w:rPr>
                  </w:pPr>
                  <w:r>
                    <w:rPr>
                      <w:rFonts w:ascii="Times New Roman" w:hAnsi="Times New Roman" w:eastAsia="宋体"/>
                      <w:color w:val="auto"/>
                    </w:rPr>
                    <w:t>37μg/m</w:t>
                  </w:r>
                  <w:r>
                    <w:rPr>
                      <w:rFonts w:ascii="Times New Roman" w:hAnsi="Times New Roman" w:eastAsia="宋体"/>
                      <w:color w:val="auto"/>
                      <w:vertAlign w:val="superscript"/>
                    </w:rPr>
                    <w:t>3</w:t>
                  </w:r>
                </w:p>
              </w:tc>
              <w:tc>
                <w:tcPr>
                  <w:tcW w:w="1314" w:type="dxa"/>
                  <w:vAlign w:val="center"/>
                </w:tcPr>
                <w:p>
                  <w:pPr>
                    <w:adjustRightInd w:val="0"/>
                    <w:jc w:val="center"/>
                    <w:rPr>
                      <w:rFonts w:ascii="Times New Roman" w:hAnsi="Times New Roman" w:eastAsia="宋体"/>
                      <w:color w:val="auto"/>
                    </w:rPr>
                  </w:pPr>
                  <w:r>
                    <w:rPr>
                      <w:rFonts w:ascii="Times New Roman" w:hAnsi="Times New Roman" w:eastAsia="宋体"/>
                      <w:color w:val="auto"/>
                    </w:rPr>
                    <w:t>35μg/m</w:t>
                  </w:r>
                  <w:r>
                    <w:rPr>
                      <w:rFonts w:ascii="Times New Roman" w:hAnsi="Times New Roman" w:eastAsia="宋体"/>
                      <w:color w:val="auto"/>
                      <w:vertAlign w:val="superscript"/>
                    </w:rPr>
                    <w:t>3</w:t>
                  </w:r>
                </w:p>
              </w:tc>
              <w:tc>
                <w:tcPr>
                  <w:tcW w:w="1044" w:type="dxa"/>
                  <w:vAlign w:val="center"/>
                </w:tcPr>
                <w:p>
                  <w:pPr>
                    <w:adjustRightInd w:val="0"/>
                    <w:jc w:val="center"/>
                    <w:rPr>
                      <w:rFonts w:ascii="Times New Roman" w:hAnsi="Times New Roman" w:eastAsia="宋体"/>
                      <w:color w:val="auto"/>
                    </w:rPr>
                  </w:pPr>
                  <w:r>
                    <w:rPr>
                      <w:rFonts w:ascii="Times New Roman" w:hAnsi="Times New Roman" w:eastAsia="宋体"/>
                      <w:color w:val="auto"/>
                    </w:rPr>
                    <w:t>105.71%</w:t>
                  </w:r>
                </w:p>
              </w:tc>
              <w:tc>
                <w:tcPr>
                  <w:tcW w:w="1107" w:type="dxa"/>
                  <w:vAlign w:val="center"/>
                </w:tcPr>
                <w:p>
                  <w:pPr>
                    <w:adjustRightInd w:val="0"/>
                    <w:jc w:val="center"/>
                    <w:rPr>
                      <w:rFonts w:ascii="Times New Roman" w:hAnsi="Times New Roman" w:eastAsia="宋体"/>
                      <w:color w:val="auto"/>
                    </w:rPr>
                  </w:pPr>
                  <w:r>
                    <w:rPr>
                      <w:rFonts w:ascii="Times New Roman" w:hAnsi="Times New Roman" w:eastAsia="宋体"/>
                      <w:color w:val="auto"/>
                    </w:rPr>
                    <w:t>0.06</w:t>
                  </w:r>
                </w:p>
              </w:tc>
              <w:tc>
                <w:tcPr>
                  <w:tcW w:w="1080" w:type="dxa"/>
                  <w:vAlign w:val="center"/>
                </w:tcPr>
                <w:p>
                  <w:pPr>
                    <w:adjustRightInd w:val="0"/>
                    <w:snapToGrid w:val="0"/>
                    <w:jc w:val="center"/>
                    <w:rPr>
                      <w:rFonts w:ascii="Times New Roman" w:hAnsi="Times New Roman" w:eastAsia="宋体"/>
                      <w:color w:val="auto"/>
                    </w:rPr>
                  </w:pPr>
                  <w:r>
                    <w:rPr>
                      <w:rFonts w:ascii="Times New Roman" w:hAnsi="Times New Roman" w:eastAsia="宋体"/>
                      <w:color w:val="auto"/>
                    </w:rPr>
                    <w:t>超标</w:t>
                  </w:r>
                </w:p>
              </w:tc>
            </w:tr>
          </w:tbl>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ascii="Times New Roman" w:hAnsi="Times New Roman" w:eastAsia="宋体"/>
                <w:color w:val="auto"/>
                <w:sz w:val="24"/>
                <w:szCs w:val="24"/>
              </w:rPr>
            </w:pPr>
            <w:r>
              <w:rPr>
                <w:rFonts w:ascii="Times New Roman" w:hAnsi="Times New Roman" w:eastAsia="宋体"/>
                <w:color w:val="auto"/>
                <w:sz w:val="24"/>
                <w:szCs w:val="24"/>
              </w:rPr>
              <w:t>由上表可知，本项目所在区域环境空气中NO</w:t>
            </w:r>
            <w:r>
              <w:rPr>
                <w:rFonts w:ascii="Times New Roman" w:hAnsi="Times New Roman" w:eastAsia="宋体"/>
                <w:color w:val="auto"/>
                <w:sz w:val="24"/>
                <w:szCs w:val="24"/>
                <w:vertAlign w:val="subscript"/>
              </w:rPr>
              <w:t>2</w:t>
            </w:r>
            <w:r>
              <w:rPr>
                <w:rFonts w:ascii="Times New Roman" w:hAnsi="Times New Roman" w:eastAsia="宋体"/>
                <w:color w:val="auto"/>
                <w:sz w:val="24"/>
                <w:szCs w:val="24"/>
              </w:rPr>
              <w:t>年平均浓度、PM</w:t>
            </w:r>
            <w:r>
              <w:rPr>
                <w:rFonts w:ascii="Times New Roman" w:hAnsi="Times New Roman" w:eastAsia="宋体"/>
                <w:color w:val="auto"/>
                <w:sz w:val="24"/>
                <w:szCs w:val="24"/>
                <w:vertAlign w:val="subscript"/>
              </w:rPr>
              <w:t>10</w:t>
            </w:r>
            <w:r>
              <w:rPr>
                <w:rFonts w:ascii="Times New Roman" w:hAnsi="Times New Roman" w:eastAsia="宋体"/>
                <w:color w:val="auto"/>
                <w:sz w:val="24"/>
                <w:szCs w:val="24"/>
              </w:rPr>
              <w:t>年平均浓度和PM</w:t>
            </w:r>
            <w:r>
              <w:rPr>
                <w:rFonts w:ascii="Times New Roman" w:hAnsi="Times New Roman" w:eastAsia="宋体"/>
                <w:color w:val="auto"/>
                <w:sz w:val="24"/>
                <w:szCs w:val="24"/>
                <w:vertAlign w:val="subscript"/>
              </w:rPr>
              <w:t>2.5</w:t>
            </w:r>
            <w:r>
              <w:rPr>
                <w:rFonts w:ascii="Times New Roman" w:hAnsi="Times New Roman" w:eastAsia="宋体"/>
                <w:color w:val="auto"/>
                <w:sz w:val="24"/>
                <w:szCs w:val="24"/>
              </w:rPr>
              <w:t>年平均浓度出现不同程度的超标现象，说明该区域属于环境空气质量不达标区，NO</w:t>
            </w:r>
            <w:r>
              <w:rPr>
                <w:rFonts w:ascii="Times New Roman" w:hAnsi="Times New Roman" w:eastAsia="宋体"/>
                <w:color w:val="auto"/>
                <w:sz w:val="24"/>
                <w:szCs w:val="24"/>
                <w:vertAlign w:val="subscript"/>
              </w:rPr>
              <w:t>2</w:t>
            </w:r>
            <w:r>
              <w:rPr>
                <w:rFonts w:ascii="Times New Roman" w:hAnsi="Times New Roman" w:eastAsia="宋体"/>
                <w:color w:val="auto"/>
                <w:sz w:val="24"/>
                <w:szCs w:val="24"/>
              </w:rPr>
              <w:t>浓度超标原因主要为燃油汽车尾气中的</w:t>
            </w:r>
            <w:r>
              <w:rPr>
                <w:rFonts w:hint="eastAsia" w:ascii="Times New Roman" w:hAnsi="Times New Roman" w:eastAsia="宋体"/>
                <w:color w:val="auto"/>
                <w:sz w:val="24"/>
                <w:szCs w:val="24"/>
                <w:lang w:eastAsia="zh-CN"/>
              </w:rPr>
              <w:t>NO</w:t>
            </w:r>
            <w:r>
              <w:rPr>
                <w:rFonts w:hint="eastAsia" w:ascii="Times New Roman" w:hAnsi="Times New Roman" w:eastAsia="宋体"/>
                <w:color w:val="auto"/>
                <w:sz w:val="24"/>
                <w:szCs w:val="24"/>
                <w:vertAlign w:val="subscript"/>
                <w:lang w:eastAsia="zh-CN"/>
              </w:rPr>
              <w:t>X</w:t>
            </w:r>
            <w:r>
              <w:rPr>
                <w:rFonts w:ascii="Times New Roman" w:hAnsi="Times New Roman" w:eastAsia="宋体"/>
                <w:color w:val="auto"/>
                <w:sz w:val="24"/>
                <w:szCs w:val="24"/>
              </w:rPr>
              <w:t>包括多种化合物，除</w:t>
            </w:r>
            <w:r>
              <w:rPr>
                <w:rFonts w:hint="eastAsia" w:ascii="Times New Roman" w:hAnsi="Times New Roman" w:eastAsia="宋体"/>
                <w:color w:val="auto"/>
                <w:sz w:val="24"/>
                <w:szCs w:val="24"/>
                <w:lang w:eastAsia="zh-CN"/>
              </w:rPr>
              <w:t>N</w:t>
            </w:r>
            <w:r>
              <w:rPr>
                <w:rFonts w:hint="eastAsia" w:ascii="Times New Roman" w:hAnsi="Times New Roman" w:eastAsia="宋体"/>
                <w:color w:val="auto"/>
                <w:sz w:val="24"/>
                <w:szCs w:val="24"/>
                <w:vertAlign w:val="subscript"/>
                <w:lang w:eastAsia="zh-CN"/>
              </w:rPr>
              <w:t>2</w:t>
            </w:r>
            <w:r>
              <w:rPr>
                <w:rFonts w:hint="eastAsia" w:ascii="Times New Roman" w:hAnsi="Times New Roman" w:eastAsia="宋体"/>
                <w:color w:val="auto"/>
                <w:sz w:val="24"/>
                <w:szCs w:val="24"/>
                <w:lang w:eastAsia="zh-CN"/>
              </w:rPr>
              <w:t>O</w:t>
            </w:r>
            <w:r>
              <w:rPr>
                <w:rFonts w:ascii="Times New Roman" w:hAnsi="Times New Roman" w:eastAsia="宋体"/>
                <w:color w:val="auto"/>
                <w:sz w:val="24"/>
                <w:szCs w:val="24"/>
              </w:rPr>
              <w:t>和</w:t>
            </w:r>
            <w:r>
              <w:rPr>
                <w:rFonts w:hint="eastAsia" w:ascii="Times New Roman" w:hAnsi="Times New Roman" w:eastAsia="宋体"/>
                <w:color w:val="auto"/>
                <w:sz w:val="24"/>
                <w:szCs w:val="24"/>
                <w:lang w:eastAsia="zh-CN"/>
              </w:rPr>
              <w:t>NO</w:t>
            </w:r>
            <w:r>
              <w:rPr>
                <w:rFonts w:hint="eastAsia" w:ascii="Times New Roman" w:hAnsi="Times New Roman" w:eastAsia="宋体"/>
                <w:color w:val="auto"/>
                <w:sz w:val="24"/>
                <w:szCs w:val="24"/>
                <w:vertAlign w:val="subscript"/>
                <w:lang w:eastAsia="zh-CN"/>
              </w:rPr>
              <w:t>2</w:t>
            </w:r>
            <w:r>
              <w:rPr>
                <w:rFonts w:ascii="Times New Roman" w:hAnsi="Times New Roman" w:eastAsia="宋体"/>
                <w:color w:val="auto"/>
                <w:sz w:val="24"/>
                <w:szCs w:val="24"/>
              </w:rPr>
              <w:t>以外，其他</w:t>
            </w:r>
            <w:r>
              <w:rPr>
                <w:rFonts w:hint="eastAsia" w:ascii="Times New Roman" w:hAnsi="Times New Roman" w:eastAsia="宋体"/>
                <w:color w:val="auto"/>
                <w:sz w:val="24"/>
                <w:szCs w:val="24"/>
                <w:lang w:eastAsia="zh-CN"/>
              </w:rPr>
              <w:t>NO</w:t>
            </w:r>
            <w:r>
              <w:rPr>
                <w:rFonts w:hint="eastAsia" w:ascii="Times New Roman" w:hAnsi="Times New Roman" w:eastAsia="宋体"/>
                <w:color w:val="auto"/>
                <w:sz w:val="24"/>
                <w:szCs w:val="24"/>
                <w:vertAlign w:val="subscript"/>
                <w:lang w:eastAsia="zh-CN"/>
              </w:rPr>
              <w:t>X</w:t>
            </w:r>
            <w:r>
              <w:rPr>
                <w:rFonts w:ascii="Times New Roman" w:hAnsi="Times New Roman" w:eastAsia="宋体"/>
                <w:color w:val="auto"/>
                <w:sz w:val="24"/>
                <w:szCs w:val="24"/>
              </w:rPr>
              <w:t>均不稳定，遇光、湿或热变成</w:t>
            </w:r>
            <w:r>
              <w:rPr>
                <w:rFonts w:hint="eastAsia" w:ascii="Times New Roman" w:hAnsi="Times New Roman" w:eastAsia="宋体"/>
                <w:color w:val="auto"/>
                <w:sz w:val="24"/>
                <w:szCs w:val="24"/>
                <w:lang w:eastAsia="zh-CN"/>
              </w:rPr>
              <w:t>NO</w:t>
            </w:r>
            <w:r>
              <w:rPr>
                <w:rFonts w:ascii="Times New Roman" w:hAnsi="Times New Roman" w:eastAsia="宋体"/>
                <w:color w:val="auto"/>
                <w:sz w:val="24"/>
                <w:szCs w:val="24"/>
              </w:rPr>
              <w:t>和</w:t>
            </w:r>
            <w:r>
              <w:rPr>
                <w:rFonts w:hint="eastAsia" w:ascii="Times New Roman" w:hAnsi="Times New Roman" w:eastAsia="宋体"/>
                <w:color w:val="auto"/>
                <w:sz w:val="24"/>
                <w:szCs w:val="24"/>
                <w:lang w:eastAsia="zh-CN"/>
              </w:rPr>
              <w:t>NO</w:t>
            </w:r>
            <w:r>
              <w:rPr>
                <w:rFonts w:hint="eastAsia" w:ascii="Times New Roman" w:hAnsi="Times New Roman" w:eastAsia="宋体"/>
                <w:color w:val="auto"/>
                <w:sz w:val="24"/>
                <w:szCs w:val="24"/>
                <w:vertAlign w:val="subscript"/>
                <w:lang w:eastAsia="zh-CN"/>
              </w:rPr>
              <w:t>2</w:t>
            </w:r>
            <w:r>
              <w:rPr>
                <w:rFonts w:ascii="Times New Roman" w:hAnsi="Times New Roman" w:eastAsia="宋体"/>
                <w:color w:val="auto"/>
                <w:sz w:val="24"/>
                <w:szCs w:val="24"/>
              </w:rPr>
              <w:t>，</w:t>
            </w:r>
            <w:r>
              <w:rPr>
                <w:rFonts w:hint="eastAsia" w:ascii="Times New Roman" w:hAnsi="Times New Roman" w:eastAsia="宋体"/>
                <w:color w:val="auto"/>
                <w:sz w:val="24"/>
                <w:szCs w:val="24"/>
                <w:lang w:eastAsia="zh-CN"/>
              </w:rPr>
              <w:t>NO</w:t>
            </w:r>
            <w:r>
              <w:rPr>
                <w:rFonts w:ascii="Times New Roman" w:hAnsi="Times New Roman" w:eastAsia="宋体"/>
                <w:color w:val="auto"/>
                <w:sz w:val="24"/>
                <w:szCs w:val="24"/>
              </w:rPr>
              <w:t>化学性质非常活泼，常温下与空气中的氧气发生反应生成</w:t>
            </w:r>
            <w:r>
              <w:rPr>
                <w:rFonts w:hint="eastAsia" w:ascii="Times New Roman" w:hAnsi="Times New Roman" w:eastAsia="宋体"/>
                <w:color w:val="auto"/>
                <w:sz w:val="24"/>
                <w:szCs w:val="24"/>
                <w:lang w:eastAsia="zh-CN"/>
              </w:rPr>
              <w:t>NO</w:t>
            </w:r>
            <w:r>
              <w:rPr>
                <w:rFonts w:hint="eastAsia" w:ascii="Times New Roman" w:hAnsi="Times New Roman" w:eastAsia="宋体"/>
                <w:color w:val="auto"/>
                <w:sz w:val="24"/>
                <w:szCs w:val="24"/>
                <w:vertAlign w:val="subscript"/>
                <w:lang w:eastAsia="zh-CN"/>
              </w:rPr>
              <w:t>2</w:t>
            </w:r>
            <w:r>
              <w:rPr>
                <w:rFonts w:ascii="Times New Roman" w:hAnsi="Times New Roman" w:eastAsia="宋体"/>
                <w:color w:val="auto"/>
                <w:sz w:val="24"/>
                <w:szCs w:val="24"/>
              </w:rPr>
              <w:t>；PM</w:t>
            </w:r>
            <w:r>
              <w:rPr>
                <w:rFonts w:ascii="Times New Roman" w:hAnsi="Times New Roman" w:eastAsia="宋体"/>
                <w:color w:val="auto"/>
                <w:sz w:val="24"/>
                <w:szCs w:val="24"/>
                <w:vertAlign w:val="subscript"/>
              </w:rPr>
              <w:t>10</w:t>
            </w:r>
            <w:r>
              <w:rPr>
                <w:rFonts w:ascii="Times New Roman" w:hAnsi="Times New Roman" w:eastAsia="宋体"/>
                <w:color w:val="auto"/>
                <w:sz w:val="24"/>
                <w:szCs w:val="24"/>
              </w:rPr>
              <w:t>浓度和PM</w:t>
            </w:r>
            <w:r>
              <w:rPr>
                <w:rFonts w:ascii="Times New Roman" w:hAnsi="Times New Roman" w:eastAsia="宋体"/>
                <w:color w:val="auto"/>
                <w:sz w:val="24"/>
                <w:szCs w:val="24"/>
                <w:vertAlign w:val="subscript"/>
              </w:rPr>
              <w:t>2.5</w:t>
            </w:r>
            <w:r>
              <w:rPr>
                <w:rFonts w:ascii="Times New Roman" w:hAnsi="Times New Roman" w:eastAsia="宋体"/>
                <w:color w:val="auto"/>
                <w:sz w:val="24"/>
                <w:szCs w:val="24"/>
              </w:rPr>
              <w:t>浓度超标原因主要为柳林县气候干旱，风沙较大。</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val="en-US" w:eastAsia="zh-CN"/>
              </w:rPr>
              <w:t>公司委托山西绿澈环保科技有限公司于2021年5月30日-6月5日对项目所在地厂界富则垣村，德岗垣村进行了环境空气质量现状监测</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甲苯、</w:t>
            </w:r>
            <w:r>
              <w:rPr>
                <w:rFonts w:hint="default" w:ascii="Times New Roman" w:hAnsi="Times New Roman" w:eastAsia="宋体"/>
                <w:color w:val="auto"/>
                <w:sz w:val="24"/>
                <w:szCs w:val="24"/>
                <w:lang w:eastAsia="zh-CN"/>
              </w:rPr>
              <w:t>二甲苯</w:t>
            </w:r>
            <w:r>
              <w:rPr>
                <w:rFonts w:hint="default" w:ascii="Times New Roman" w:hAnsi="Times New Roman" w:eastAsia="宋体"/>
                <w:color w:val="auto"/>
                <w:sz w:val="24"/>
                <w:szCs w:val="24"/>
              </w:rPr>
              <w:t>执行《环境影响评价技术导则－大气环境》（HJ2.2-2018）附录D</w:t>
            </w:r>
            <w:r>
              <w:rPr>
                <w:rFonts w:hint="default" w:ascii="Times New Roman" w:hAnsi="Times New Roman" w:eastAsia="宋体"/>
                <w:color w:val="auto"/>
                <w:sz w:val="24"/>
                <w:szCs w:val="24"/>
                <w:lang w:eastAsia="zh-CN"/>
              </w:rPr>
              <w:t>中小时平均值</w:t>
            </w:r>
            <w:r>
              <w:rPr>
                <w:rFonts w:hint="default" w:ascii="Times New Roman" w:hAnsi="Times New Roman" w:eastAsia="宋体"/>
                <w:color w:val="auto"/>
                <w:sz w:val="24"/>
                <w:szCs w:val="24"/>
                <w:lang w:val="en-US" w:eastAsia="zh-CN"/>
              </w:rPr>
              <w:t>200μg/m</w:t>
            </w:r>
            <w:r>
              <w:rPr>
                <w:rFonts w:hint="default" w:ascii="Times New Roman" w:hAnsi="Times New Roman" w:eastAsia="宋体"/>
                <w:color w:val="auto"/>
                <w:sz w:val="24"/>
                <w:szCs w:val="24"/>
                <w:vertAlign w:val="superscript"/>
                <w:lang w:val="en-US" w:eastAsia="zh-CN"/>
              </w:rPr>
              <w:t>3</w:t>
            </w:r>
            <w:r>
              <w:rPr>
                <w:rFonts w:hint="eastAsia" w:ascii="Times New Roman" w:hAnsi="Times New Roman" w:eastAsia="宋体"/>
                <w:color w:val="auto"/>
                <w:sz w:val="24"/>
                <w:szCs w:val="24"/>
                <w:lang w:val="en-US" w:eastAsia="zh-CN"/>
              </w:rPr>
              <w:t>、</w:t>
            </w:r>
            <w:r>
              <w:rPr>
                <w:rFonts w:hint="default" w:ascii="Times New Roman" w:hAnsi="Times New Roman" w:eastAsia="宋体"/>
                <w:color w:val="auto"/>
                <w:sz w:val="24"/>
                <w:szCs w:val="24"/>
                <w:lang w:val="en-US" w:eastAsia="zh-CN"/>
              </w:rPr>
              <w:t>200μg/m</w:t>
            </w:r>
            <w:r>
              <w:rPr>
                <w:rFonts w:hint="default" w:ascii="Times New Roman" w:hAnsi="Times New Roman" w:eastAsia="宋体"/>
                <w:color w:val="auto"/>
                <w:sz w:val="24"/>
                <w:szCs w:val="24"/>
                <w:vertAlign w:val="superscript"/>
                <w:lang w:val="en-US" w:eastAsia="zh-CN"/>
              </w:rPr>
              <w:t>3</w:t>
            </w:r>
            <w:r>
              <w:rPr>
                <w:rFonts w:hint="default" w:ascii="Times New Roman" w:hAnsi="Times New Roman" w:eastAsia="宋体"/>
                <w:color w:val="auto"/>
                <w:sz w:val="24"/>
                <w:szCs w:val="24"/>
                <w:lang w:val="en-US" w:eastAsia="zh-CN"/>
              </w:rPr>
              <w:t>；非甲烷总烃参照执行河北省地方标准《环境空气质量非甲烷总烃限值》（DB13/1577-2012）中小时平均值2.0mg/m</w:t>
            </w:r>
            <w:r>
              <w:rPr>
                <w:rFonts w:hint="default" w:ascii="Times New Roman" w:hAnsi="Times New Roman" w:eastAsia="宋体"/>
                <w:color w:val="auto"/>
                <w:sz w:val="24"/>
                <w:szCs w:val="24"/>
                <w:vertAlign w:val="superscript"/>
                <w:lang w:val="en-US" w:eastAsia="zh-CN"/>
              </w:rPr>
              <w:t>3</w:t>
            </w:r>
            <w:r>
              <w:rPr>
                <w:rFonts w:hint="default" w:ascii="Times New Roman" w:hAnsi="Times New Roman" w:eastAsia="宋体"/>
                <w:color w:val="auto"/>
                <w:sz w:val="24"/>
                <w:szCs w:val="24"/>
                <w:lang w:eastAsia="zh-CN"/>
              </w:rPr>
              <w:t>的</w:t>
            </w:r>
            <w:r>
              <w:rPr>
                <w:rFonts w:hint="default" w:ascii="Times New Roman" w:hAnsi="Times New Roman" w:eastAsia="宋体"/>
                <w:color w:val="auto"/>
                <w:sz w:val="24"/>
                <w:szCs w:val="24"/>
              </w:rPr>
              <w:t>标准</w:t>
            </w:r>
            <w:r>
              <w:rPr>
                <w:rFonts w:hint="eastAsia" w:ascii="Times New Roman" w:hAnsi="Times New Roman" w:eastAsia="宋体"/>
                <w:color w:val="auto"/>
                <w:sz w:val="24"/>
                <w:szCs w:val="24"/>
                <w:lang w:val="en-US" w:eastAsia="zh-CN"/>
              </w:rPr>
              <w:t>，监测结果表明，</w:t>
            </w:r>
            <w:r>
              <w:rPr>
                <w:rFonts w:hint="eastAsia" w:ascii="Times New Roman" w:hAnsi="Times New Roman" w:eastAsia="宋体"/>
                <w:color w:val="auto"/>
                <w:sz w:val="24"/>
                <w:szCs w:val="24"/>
              </w:rPr>
              <w:t>甲苯、二甲苯、</w:t>
            </w:r>
            <w:r>
              <w:rPr>
                <w:rFonts w:ascii="Times New Roman" w:hAnsi="Times New Roman" w:eastAsia="宋体"/>
                <w:color w:val="auto"/>
                <w:sz w:val="24"/>
                <w:szCs w:val="24"/>
              </w:rPr>
              <w:t>非甲烷总烃</w:t>
            </w:r>
            <w:r>
              <w:rPr>
                <w:rFonts w:hint="eastAsia" w:ascii="Times New Roman" w:hAnsi="Times New Roman" w:eastAsia="宋体"/>
                <w:color w:val="auto"/>
                <w:sz w:val="24"/>
                <w:szCs w:val="24"/>
                <w:lang w:eastAsia="zh-CN"/>
              </w:rPr>
              <w:t>浓度均</w:t>
            </w:r>
            <w:r>
              <w:rPr>
                <w:rFonts w:hint="eastAsia" w:ascii="Times New Roman" w:hAnsi="Times New Roman" w:eastAsia="宋体"/>
                <w:color w:val="auto"/>
                <w:sz w:val="24"/>
                <w:szCs w:val="24"/>
                <w:lang w:val="en-US" w:eastAsia="zh-CN"/>
              </w:rPr>
              <w:t>达标。</w:t>
            </w:r>
          </w:p>
          <w:p>
            <w:pPr>
              <w:widowControl/>
              <w:adjustRightInd w:val="0"/>
              <w:snapToGrid w:val="0"/>
              <w:spacing w:line="480" w:lineRule="exact"/>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二</w:t>
            </w:r>
            <w:r>
              <w:rPr>
                <w:rFonts w:ascii="Times New Roman" w:hAnsi="Times New Roman" w:eastAsia="宋体"/>
                <w:color w:val="auto"/>
                <w:sz w:val="24"/>
                <w:szCs w:val="24"/>
              </w:rPr>
              <w:t>、地表水环境质量现状</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ascii="Times New Roman" w:hAnsi="Times New Roman" w:eastAsia="宋体"/>
                <w:color w:val="auto"/>
                <w:sz w:val="24"/>
                <w:szCs w:val="24"/>
              </w:rPr>
            </w:pPr>
            <w:r>
              <w:rPr>
                <w:rFonts w:ascii="Times New Roman" w:hAnsi="Times New Roman" w:eastAsia="宋体"/>
                <w:color w:val="auto"/>
                <w:sz w:val="24"/>
                <w:szCs w:val="24"/>
                <w:lang w:val="zh-CN"/>
              </w:rPr>
              <w:t>本项目所在地地表水水体为北侧约</w:t>
            </w:r>
            <w:r>
              <w:rPr>
                <w:rFonts w:ascii="Times New Roman" w:hAnsi="Times New Roman" w:eastAsia="宋体"/>
                <w:color w:val="auto"/>
                <w:sz w:val="24"/>
                <w:szCs w:val="24"/>
              </w:rPr>
              <w:t>700</w:t>
            </w:r>
            <w:r>
              <w:rPr>
                <w:rFonts w:ascii="Times New Roman" w:hAnsi="Times New Roman" w:eastAsia="宋体"/>
                <w:color w:val="auto"/>
                <w:sz w:val="24"/>
                <w:szCs w:val="24"/>
                <w:lang w:val="zh-CN"/>
              </w:rPr>
              <w:t>m处的三川河，根据《山西省地表水环境功能区划》（</w:t>
            </w:r>
            <w:r>
              <w:rPr>
                <w:rFonts w:ascii="Times New Roman" w:hAnsi="Times New Roman" w:eastAsia="宋体"/>
                <w:color w:val="auto"/>
                <w:sz w:val="24"/>
                <w:szCs w:val="24"/>
              </w:rPr>
              <w:t>DB14/67-2019</w:t>
            </w:r>
            <w:r>
              <w:rPr>
                <w:rFonts w:ascii="Times New Roman" w:hAnsi="Times New Roman" w:eastAsia="宋体"/>
                <w:color w:val="auto"/>
                <w:sz w:val="24"/>
                <w:szCs w:val="24"/>
                <w:lang w:val="zh-CN"/>
              </w:rPr>
              <w:t>）表</w:t>
            </w:r>
            <w:r>
              <w:rPr>
                <w:rFonts w:ascii="Times New Roman" w:hAnsi="Times New Roman" w:eastAsia="宋体"/>
                <w:color w:val="auto"/>
                <w:sz w:val="24"/>
                <w:szCs w:val="24"/>
              </w:rPr>
              <w:t>1“山西省各河段水环境功能区划结果表”</w:t>
            </w:r>
            <w:r>
              <w:rPr>
                <w:rFonts w:ascii="Times New Roman" w:hAnsi="Times New Roman" w:eastAsia="宋体"/>
                <w:color w:val="auto"/>
                <w:sz w:val="24"/>
                <w:szCs w:val="24"/>
                <w:lang w:val="zh-CN"/>
              </w:rPr>
              <w:t>可知，</w:t>
            </w:r>
            <w:r>
              <w:rPr>
                <w:rFonts w:ascii="Times New Roman" w:hAnsi="Times New Roman" w:eastAsia="宋体"/>
                <w:color w:val="auto"/>
                <w:sz w:val="24"/>
                <w:szCs w:val="24"/>
              </w:rPr>
              <w:t>该河段属于“黄河、吴堡-龙门区、黄河干流（西南部）、三川河、薛村——入黄河”段，水环境功能为农业用水保护，水质要求为Ⅴ类，执行《地表水环境质量标准》（GB3838-2002）中Ⅴ类标准。</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ascii="Times New Roman" w:hAnsi="Times New Roman" w:eastAsia="宋体"/>
                <w:color w:val="auto"/>
                <w:sz w:val="24"/>
                <w:szCs w:val="24"/>
                <w:lang w:val="zh-CN"/>
              </w:rPr>
            </w:pPr>
            <w:r>
              <w:rPr>
                <w:rFonts w:ascii="Times New Roman" w:hAnsi="Times New Roman" w:eastAsia="宋体"/>
                <w:color w:val="auto"/>
                <w:sz w:val="24"/>
                <w:szCs w:val="24"/>
              </w:rPr>
              <w:t>根据</w:t>
            </w:r>
            <w:r>
              <w:rPr>
                <w:rFonts w:hint="eastAsia" w:ascii="Times New Roman" w:hAnsi="Times New Roman" w:eastAsia="宋体"/>
                <w:color w:val="auto"/>
                <w:sz w:val="24"/>
                <w:szCs w:val="24"/>
                <w:lang w:eastAsia="zh-CN"/>
              </w:rPr>
              <w:t>《</w:t>
            </w:r>
            <w:r>
              <w:rPr>
                <w:rFonts w:ascii="Times New Roman" w:hAnsi="Times New Roman" w:eastAsia="宋体"/>
                <w:color w:val="auto"/>
                <w:sz w:val="24"/>
                <w:szCs w:val="24"/>
              </w:rPr>
              <w:t>2021年2月山西省地表水环境质量报告</w:t>
            </w:r>
            <w:r>
              <w:rPr>
                <w:rFonts w:hint="eastAsia" w:ascii="Times New Roman" w:hAnsi="Times New Roman" w:eastAsia="宋体"/>
                <w:color w:val="auto"/>
                <w:sz w:val="24"/>
                <w:szCs w:val="24"/>
                <w:lang w:eastAsia="zh-CN"/>
              </w:rPr>
              <w:t>》</w:t>
            </w:r>
            <w:r>
              <w:rPr>
                <w:rFonts w:ascii="Times New Roman" w:hAnsi="Times New Roman" w:eastAsia="宋体"/>
                <w:color w:val="auto"/>
                <w:sz w:val="24"/>
                <w:szCs w:val="24"/>
              </w:rPr>
              <w:fldChar w:fldCharType="begin"/>
            </w:r>
            <w:r>
              <w:rPr>
                <w:rFonts w:ascii="Times New Roman" w:hAnsi="Times New Roman" w:eastAsia="宋体"/>
                <w:color w:val="auto"/>
                <w:sz w:val="24"/>
                <w:szCs w:val="24"/>
              </w:rPr>
              <w:instrText xml:space="preserve"> HYPERLINK "https://sthjt.shanxi.gov.cn/html/dbsszyb/20210330/106617.html）可知，该河段位于三川河寨东桥（柳林县）监控断面和三川河两河口桥（柳林县）监控断面之间，三川河寨东桥（柳林县）监控断面当月水质为III类、三川河两河口桥（柳林县）监控断面当月水质为III类，满足《地表水环境质量标准》（GB3838-2002）中Ⅴ类标准。" </w:instrText>
            </w:r>
            <w:r>
              <w:rPr>
                <w:rFonts w:ascii="Times New Roman" w:hAnsi="Times New Roman" w:eastAsia="宋体"/>
                <w:color w:val="auto"/>
                <w:sz w:val="24"/>
                <w:szCs w:val="24"/>
              </w:rPr>
              <w:fldChar w:fldCharType="separate"/>
            </w:r>
            <w:r>
              <w:rPr>
                <w:rFonts w:ascii="Times New Roman" w:hAnsi="Times New Roman" w:eastAsia="宋体"/>
                <w:color w:val="auto"/>
                <w:sz w:val="24"/>
                <w:szCs w:val="24"/>
              </w:rPr>
              <w:t>，该河段位于三川河寨东桥（柳林县）监控断面和三川河两河口桥（柳林县）监控断面之间，三川河寨东桥（柳林县）监控断面当月水质为III类、三川河两河口桥（柳林县）监控断面当月水质为III类，满足《地表水环境质量标准》（GB3838-2002）中Ⅴ类标准</w:t>
            </w:r>
            <w:r>
              <w:rPr>
                <w:rFonts w:ascii="Times New Roman" w:hAnsi="Times New Roman" w:eastAsia="宋体"/>
                <w:color w:val="auto"/>
                <w:sz w:val="24"/>
                <w:szCs w:val="24"/>
                <w:lang w:val="zh-CN"/>
              </w:rPr>
              <w:t>。</w:t>
            </w:r>
            <w:r>
              <w:rPr>
                <w:rFonts w:ascii="Times New Roman" w:hAnsi="Times New Roman" w:eastAsia="宋体"/>
                <w:color w:val="auto"/>
                <w:sz w:val="24"/>
                <w:szCs w:val="24"/>
              </w:rPr>
              <w:fldChar w:fldCharType="end"/>
            </w:r>
          </w:p>
          <w:p>
            <w:pPr>
              <w:widowControl/>
              <w:adjustRightInd w:val="0"/>
              <w:snapToGrid w:val="0"/>
              <w:spacing w:line="480" w:lineRule="exact"/>
              <w:rPr>
                <w:rFonts w:hint="default"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三、地下水环境质量现在</w:t>
            </w:r>
          </w:p>
          <w:p>
            <w:pPr>
              <w:widowControl/>
              <w:adjustRightInd w:val="0"/>
              <w:snapToGrid w:val="0"/>
              <w:spacing w:line="480" w:lineRule="exact"/>
              <w:ind w:firstLine="480" w:firstLineChars="200"/>
              <w:rPr>
                <w:rFonts w:hint="eastAsia" w:ascii="Times New Roman" w:hAnsi="Times New Roman" w:eastAsia="宋体"/>
                <w:color w:val="auto"/>
                <w:sz w:val="24"/>
                <w:szCs w:val="24"/>
                <w:lang w:val="zh-CN" w:eastAsia="zh-CN"/>
              </w:rPr>
            </w:pPr>
            <w:r>
              <w:rPr>
                <w:rFonts w:hint="eastAsia" w:ascii="Times New Roman" w:hAnsi="Times New Roman" w:eastAsia="宋体"/>
                <w:color w:val="auto"/>
                <w:sz w:val="24"/>
                <w:szCs w:val="24"/>
                <w:lang w:val="en-US" w:eastAsia="zh-CN"/>
              </w:rPr>
              <w:t>本项目厂房车间地面以及厂区道路均进行硬底化，不存在地下水环境污染途径，故不开展地下水环境质量现状调查。</w:t>
            </w:r>
          </w:p>
          <w:p>
            <w:pPr>
              <w:widowControl/>
              <w:adjustRightInd w:val="0"/>
              <w:snapToGrid w:val="0"/>
              <w:spacing w:line="480" w:lineRule="exact"/>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四</w:t>
            </w:r>
            <w:r>
              <w:rPr>
                <w:rFonts w:ascii="Times New Roman" w:hAnsi="Times New Roman" w:eastAsia="宋体"/>
                <w:color w:val="auto"/>
                <w:sz w:val="24"/>
                <w:szCs w:val="24"/>
              </w:rPr>
              <w:t>、声环境质量现状</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rPr>
              <w:t>评价区域内</w:t>
            </w:r>
            <w:r>
              <w:rPr>
                <w:rFonts w:hint="eastAsia" w:ascii="Times New Roman" w:hAnsi="Times New Roman" w:eastAsia="宋体"/>
                <w:color w:val="auto"/>
                <w:sz w:val="24"/>
                <w:szCs w:val="24"/>
                <w:lang w:val="en-US" w:eastAsia="zh-CN"/>
              </w:rPr>
              <w:t>，项目厂界外</w:t>
            </w:r>
            <w:r>
              <w:rPr>
                <w:rFonts w:hint="default" w:ascii="Times New Roman" w:hAnsi="Times New Roman" w:eastAsia="宋体"/>
                <w:color w:val="auto"/>
                <w:sz w:val="24"/>
                <w:szCs w:val="24"/>
                <w:lang w:val="en-US" w:eastAsia="zh-CN"/>
              </w:rPr>
              <w:t>50m</w:t>
            </w:r>
            <w:r>
              <w:rPr>
                <w:rFonts w:hint="eastAsia" w:ascii="Times New Roman" w:hAnsi="Times New Roman" w:eastAsia="宋体"/>
                <w:color w:val="auto"/>
                <w:sz w:val="24"/>
                <w:szCs w:val="24"/>
                <w:lang w:val="en-US" w:eastAsia="zh-CN"/>
              </w:rPr>
              <w:t>范围内无声环境保护目标，故不开展声环境质量现状调查。</w:t>
            </w:r>
          </w:p>
          <w:p>
            <w:pPr>
              <w:widowControl/>
              <w:adjustRightInd w:val="0"/>
              <w:snapToGrid w:val="0"/>
              <w:spacing w:line="480" w:lineRule="exact"/>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五</w:t>
            </w:r>
            <w:r>
              <w:rPr>
                <w:rFonts w:ascii="Times New Roman" w:hAnsi="Times New Roman" w:eastAsia="宋体"/>
                <w:color w:val="auto"/>
                <w:sz w:val="24"/>
                <w:szCs w:val="24"/>
              </w:rPr>
              <w:t>、生态环境质量现状</w:t>
            </w:r>
          </w:p>
          <w:p>
            <w:pPr>
              <w:widowControl/>
              <w:adjustRightInd w:val="0"/>
              <w:snapToGrid w:val="0"/>
              <w:spacing w:line="480" w:lineRule="exact"/>
              <w:ind w:firstLine="480" w:firstLineChars="200"/>
              <w:rPr>
                <w:rFonts w:ascii="Times New Roman" w:hAnsi="Times New Roman" w:eastAsia="宋体"/>
                <w:color w:val="auto"/>
                <w:sz w:val="24"/>
                <w:szCs w:val="24"/>
              </w:rPr>
            </w:pPr>
            <w:r>
              <w:rPr>
                <w:rFonts w:hint="eastAsia" w:ascii="Times New Roman" w:hAnsi="Times New Roman" w:eastAsia="宋体"/>
                <w:color w:val="auto"/>
                <w:sz w:val="24"/>
                <w:szCs w:val="24"/>
              </w:rPr>
              <w:t>评价区域内生态环境质量一般</w:t>
            </w:r>
            <w:r>
              <w:rPr>
                <w:rFonts w:ascii="Times New Roman" w:hAnsi="Times New Roman" w:eastAsia="宋体"/>
                <w:color w:val="auto"/>
                <w:sz w:val="24"/>
                <w:szCs w:val="24"/>
              </w:rPr>
              <w:t>，未见需特殊保护的野生动物、濒危或珍稀物种等</w:t>
            </w:r>
          </w:p>
          <w:p>
            <w:pPr>
              <w:widowControl/>
              <w:adjustRightInd w:val="0"/>
              <w:snapToGrid w:val="0"/>
              <w:spacing w:line="480" w:lineRule="exact"/>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六、土壤环境质量现状</w:t>
            </w:r>
          </w:p>
          <w:p>
            <w:pPr>
              <w:widowControl/>
              <w:adjustRightInd w:val="0"/>
              <w:snapToGrid w:val="0"/>
              <w:spacing w:line="480" w:lineRule="exact"/>
              <w:ind w:firstLine="480" w:firstLineChars="200"/>
              <w:rPr>
                <w:rFonts w:ascii="Times New Roman" w:hAnsi="Times New Roman" w:eastAsia="宋体"/>
                <w:color w:val="auto"/>
              </w:rPr>
            </w:pPr>
            <w:r>
              <w:rPr>
                <w:rFonts w:hint="eastAsia" w:ascii="Times New Roman" w:hAnsi="Times New Roman" w:eastAsia="宋体"/>
                <w:color w:val="auto"/>
                <w:sz w:val="24"/>
                <w:szCs w:val="24"/>
                <w:lang w:val="en-US" w:eastAsia="zh-CN"/>
              </w:rPr>
              <w:t>本项目厂房车间地面以及厂区道路均进行硬底化，不存在土壤环境污染途径，故不开展土壤环境质量现状调查。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环境保护目标</w:t>
            </w:r>
          </w:p>
        </w:tc>
        <w:tc>
          <w:tcPr>
            <w:tcW w:w="9807" w:type="dxa"/>
            <w:tcBorders>
              <w:tl2br w:val="nil"/>
              <w:tr2bl w:val="nil"/>
            </w:tcBorders>
            <w:vAlign w:val="center"/>
          </w:tcPr>
          <w:p>
            <w:pPr>
              <w:widowControl/>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一</w:t>
            </w:r>
            <w:r>
              <w:rPr>
                <w:rFonts w:ascii="Times New Roman" w:hAnsi="Times New Roman" w:eastAsia="宋体" w:cs="Times New Roman"/>
                <w:color w:val="auto"/>
                <w:sz w:val="24"/>
                <w:szCs w:val="24"/>
              </w:rPr>
              <w:t>、大气环境保护目标</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500</w:t>
            </w:r>
            <w:r>
              <w:rPr>
                <w:rFonts w:ascii="Times New Roman" w:hAnsi="Times New Roman" w:eastAsia="宋体" w:cs="Times New Roman"/>
                <w:color w:val="auto"/>
                <w:sz w:val="24"/>
                <w:szCs w:val="24"/>
                <w:lang w:val="zh-CN"/>
              </w:rPr>
              <w:t>m范围内无</w:t>
            </w:r>
            <w:r>
              <w:rPr>
                <w:rFonts w:ascii="Times New Roman" w:hAnsi="Times New Roman" w:eastAsia="宋体" w:cs="Times New Roman"/>
                <w:color w:val="auto"/>
                <w:sz w:val="24"/>
                <w:szCs w:val="24"/>
              </w:rPr>
              <w:t>自然保护区、风景名胜区、居住区、文化区和农村地区中人群较集中的区域等大气环境保护目标。</w:t>
            </w:r>
          </w:p>
          <w:p>
            <w:pPr>
              <w:widowControl/>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二</w:t>
            </w:r>
            <w:r>
              <w:rPr>
                <w:rFonts w:ascii="Times New Roman" w:hAnsi="Times New Roman" w:eastAsia="宋体" w:cs="Times New Roman"/>
                <w:color w:val="auto"/>
                <w:sz w:val="24"/>
                <w:szCs w:val="24"/>
              </w:rPr>
              <w:t>、声环境保护目标</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w:t>
            </w:r>
            <w:r>
              <w:rPr>
                <w:rFonts w:ascii="Times New Roman" w:hAnsi="Times New Roman" w:eastAsia="宋体" w:cs="Times New Roman"/>
                <w:color w:val="auto"/>
                <w:sz w:val="24"/>
                <w:szCs w:val="24"/>
                <w:lang w:val="zh-CN"/>
              </w:rPr>
              <w:t>m范围内无声环境保护目标。</w:t>
            </w:r>
          </w:p>
          <w:p>
            <w:pPr>
              <w:widowControl/>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三</w:t>
            </w:r>
            <w:r>
              <w:rPr>
                <w:rFonts w:ascii="Times New Roman" w:hAnsi="Times New Roman" w:eastAsia="宋体" w:cs="Times New Roman"/>
                <w:color w:val="auto"/>
                <w:sz w:val="24"/>
                <w:szCs w:val="24"/>
              </w:rPr>
              <w:t>、地下水环境保护目标</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ascii="Times New Roman" w:hAnsi="Times New Roman" w:eastAsia="宋体" w:cs="Times New Roman"/>
                <w:color w:val="auto"/>
                <w:kern w:val="0"/>
                <w:sz w:val="24"/>
                <w:szCs w:val="24"/>
              </w:rPr>
            </w:pPr>
            <w:r>
              <w:rPr>
                <w:rFonts w:ascii="Times New Roman" w:hAnsi="Times New Roman" w:eastAsia="宋体" w:cs="Times New Roman"/>
                <w:color w:val="auto"/>
                <w:sz w:val="24"/>
                <w:szCs w:val="24"/>
              </w:rPr>
              <w:t>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500</w:t>
            </w:r>
            <w:r>
              <w:rPr>
                <w:rFonts w:ascii="Times New Roman" w:hAnsi="Times New Roman" w:eastAsia="宋体" w:cs="Times New Roman"/>
                <w:color w:val="auto"/>
                <w:sz w:val="24"/>
                <w:szCs w:val="24"/>
                <w:lang w:val="zh-CN"/>
              </w:rPr>
              <w:t>m范围内无</w:t>
            </w:r>
            <w:r>
              <w:rPr>
                <w:rFonts w:ascii="Times New Roman" w:hAnsi="Times New Roman" w:eastAsia="宋体" w:cs="Times New Roman"/>
                <w:color w:val="auto"/>
                <w:sz w:val="24"/>
                <w:szCs w:val="24"/>
              </w:rPr>
              <w:t>地下水型集中式饮用水水源和热水、矿泉水、温泉等特殊地下水资源</w:t>
            </w:r>
            <w:r>
              <w:rPr>
                <w:rFonts w:hint="eastAsia" w:ascii="Times New Roman" w:hAnsi="Times New Roman" w:eastAsia="宋体" w:cs="Times New Roman"/>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tcBorders>
              <w:tl2br w:val="nil"/>
              <w:tr2bl w:val="nil"/>
            </w:tcBorders>
            <w:tcMar>
              <w:left w:w="28" w:type="dxa"/>
              <w:right w:w="28" w:type="dxa"/>
            </w:tcMar>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污染物排放控制标准</w:t>
            </w:r>
          </w:p>
        </w:tc>
        <w:tc>
          <w:tcPr>
            <w:tcW w:w="9807" w:type="dxa"/>
            <w:tcBorders>
              <w:tl2br w:val="nil"/>
              <w:tr2bl w:val="nil"/>
            </w:tcBorders>
            <w:vAlign w:val="center"/>
          </w:tcPr>
          <w:p>
            <w:pPr>
              <w:widowControl/>
              <w:adjustRightInd w:val="0"/>
              <w:snapToGrid w:val="0"/>
              <w:spacing w:line="480" w:lineRule="exac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一</w:t>
            </w:r>
            <w:r>
              <w:rPr>
                <w:rFonts w:hint="default" w:ascii="Times New Roman" w:hAnsi="Times New Roman" w:eastAsia="宋体" w:cs="Times New Roman"/>
                <w:color w:val="auto"/>
                <w:sz w:val="24"/>
                <w:szCs w:val="24"/>
              </w:rPr>
              <w:t>、大气污染物排放标准</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本项目运营期</w:t>
            </w:r>
            <w:r>
              <w:rPr>
                <w:rFonts w:hint="default" w:ascii="Times New Roman" w:hAnsi="Times New Roman" w:eastAsia="宋体" w:cs="Times New Roman"/>
                <w:color w:val="auto"/>
                <w:sz w:val="24"/>
                <w:szCs w:val="24"/>
                <w:lang w:eastAsia="zh-CN"/>
              </w:rPr>
              <w:t>有组织及无组织</w:t>
            </w:r>
            <w:r>
              <w:rPr>
                <w:rFonts w:hint="eastAsia" w:ascii="Times New Roman" w:hAnsi="Times New Roman" w:eastAsia="宋体" w:cs="Times New Roman"/>
                <w:color w:val="auto"/>
                <w:sz w:val="24"/>
                <w:szCs w:val="24"/>
                <w:lang w:val="en-US" w:eastAsia="zh-CN"/>
              </w:rPr>
              <w:t>喷砂</w:t>
            </w:r>
            <w:r>
              <w:rPr>
                <w:rFonts w:hint="default" w:ascii="Times New Roman" w:hAnsi="Times New Roman" w:eastAsia="宋体" w:cs="Times New Roman"/>
                <w:color w:val="auto"/>
                <w:sz w:val="24"/>
                <w:szCs w:val="24"/>
                <w:lang w:eastAsia="zh-CN"/>
              </w:rPr>
              <w:t>粉尘</w:t>
            </w:r>
            <w:r>
              <w:rPr>
                <w:rFonts w:hint="default" w:ascii="Times New Roman" w:hAnsi="Times New Roman" w:eastAsia="宋体" w:cs="Times New Roman"/>
                <w:color w:val="auto"/>
                <w:sz w:val="24"/>
                <w:szCs w:val="24"/>
              </w:rPr>
              <w:t>执行《大气污染物综合排放标准》（GB16297-1996）表2中二级标准</w:t>
            </w:r>
            <w:r>
              <w:rPr>
                <w:rFonts w:hint="default" w:ascii="Times New Roman" w:hAnsi="Times New Roman" w:eastAsia="宋体" w:cs="Times New Roman"/>
                <w:color w:val="auto"/>
                <w:sz w:val="24"/>
                <w:szCs w:val="24"/>
                <w:lang w:eastAsia="zh-CN"/>
              </w:rPr>
              <w:t>，详见</w:t>
            </w:r>
            <w:r>
              <w:rPr>
                <w:rFonts w:hint="default" w:ascii="Times New Roman" w:hAnsi="Times New Roman" w:eastAsia="宋体" w:cs="Times New Roman"/>
                <w:color w:val="auto"/>
                <w:sz w:val="24"/>
                <w:szCs w:val="24"/>
              </w:rPr>
              <w:t>表</w:t>
            </w:r>
            <w:r>
              <w:rPr>
                <w:rFonts w:hint="eastAsia" w:ascii="Times New Roman" w:hAnsi="Times New Roman" w:eastAsia="宋体" w:cs="Times New Roman"/>
                <w:color w:val="auto"/>
                <w:sz w:val="24"/>
                <w:szCs w:val="24"/>
                <w:lang w:val="en-US" w:eastAsia="zh-CN"/>
              </w:rPr>
              <w:t>13</w:t>
            </w:r>
            <w:r>
              <w:rPr>
                <w:rFonts w:hint="default" w:ascii="Times New Roman" w:hAnsi="Times New Roman" w:eastAsia="宋体" w:cs="Times New Roman"/>
                <w:color w:val="auto"/>
                <w:sz w:val="24"/>
                <w:szCs w:val="24"/>
                <w:lang w:eastAsia="zh-CN"/>
              </w:rPr>
              <w:t>；</w:t>
            </w:r>
          </w:p>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13</w:t>
            </w:r>
            <w:r>
              <w:rPr>
                <w:rFonts w:hint="default" w:ascii="Times New Roman" w:hAnsi="Times New Roman" w:eastAsia="宋体" w:cs="Times New Roman"/>
                <w:b/>
                <w:bCs/>
                <w:color w:val="auto"/>
                <w:sz w:val="21"/>
                <w:szCs w:val="21"/>
                <w:lang w:eastAsia="zh-CN"/>
              </w:rPr>
              <w:t>《大气污染物综合排放标准》（</w:t>
            </w:r>
            <w:r>
              <w:rPr>
                <w:rFonts w:hint="default" w:ascii="Times New Roman" w:hAnsi="Times New Roman" w:eastAsia="宋体" w:cs="Times New Roman"/>
                <w:b/>
                <w:bCs/>
                <w:color w:val="auto"/>
                <w:sz w:val="21"/>
                <w:szCs w:val="21"/>
                <w:lang w:val="en-US" w:eastAsia="zh-CN"/>
              </w:rPr>
              <w:t>GB16297-1996）表2中的二级标准</w:t>
            </w:r>
          </w:p>
          <w:tbl>
            <w:tblPr>
              <w:tblStyle w:val="20"/>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351"/>
              <w:gridCol w:w="1755"/>
              <w:gridCol w:w="878"/>
              <w:gridCol w:w="2219"/>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8" w:type="pct"/>
                  <w:vMerge w:val="restar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227" w:type="pct"/>
                  <w:vMerge w:val="restar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最高允许排放浓度</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374" w:type="pct"/>
                  <w:gridSpan w:val="2"/>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最高允许排放速率</w:t>
                  </w:r>
                  <w:r>
                    <w:rPr>
                      <w:rFonts w:hint="default" w:ascii="Times New Roman" w:hAnsi="Times New Roman" w:eastAsia="宋体" w:cs="Times New Roman"/>
                      <w:color w:val="auto"/>
                      <w:sz w:val="21"/>
                      <w:szCs w:val="21"/>
                      <w:lang w:val="en-US" w:eastAsia="zh-CN"/>
                    </w:rPr>
                    <w:t>kg/h</w:t>
                  </w:r>
                </w:p>
              </w:tc>
              <w:tc>
                <w:tcPr>
                  <w:tcW w:w="1809" w:type="pct"/>
                  <w:gridSpan w:val="2"/>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8" w:type="pct"/>
                  <w:vMerge w:val="continue"/>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rPr>
                  </w:pPr>
                </w:p>
              </w:tc>
              <w:tc>
                <w:tcPr>
                  <w:tcW w:w="1227" w:type="pct"/>
                  <w:vMerge w:val="continue"/>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rPr>
                  </w:pPr>
                </w:p>
              </w:tc>
              <w:tc>
                <w:tcPr>
                  <w:tcW w:w="916"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排气筒高度m</w:t>
                  </w:r>
                </w:p>
              </w:tc>
              <w:tc>
                <w:tcPr>
                  <w:tcW w:w="458"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二级</w:t>
                  </w:r>
                </w:p>
              </w:tc>
              <w:tc>
                <w:tcPr>
                  <w:tcW w:w="1158"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监控点</w:t>
                  </w:r>
                </w:p>
              </w:tc>
              <w:tc>
                <w:tcPr>
                  <w:tcW w:w="651"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浓度</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8"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颗粒物</w:t>
                  </w:r>
                </w:p>
              </w:tc>
              <w:tc>
                <w:tcPr>
                  <w:tcW w:w="1227"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120</w:t>
                  </w:r>
                </w:p>
              </w:tc>
              <w:tc>
                <w:tcPr>
                  <w:tcW w:w="916"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458"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1158"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周界外浓度最高点</w:t>
                  </w:r>
                </w:p>
              </w:tc>
              <w:tc>
                <w:tcPr>
                  <w:tcW w:w="651" w:type="pct"/>
                  <w:tcBorders>
                    <w:tl2br w:val="nil"/>
                    <w:tr2bl w:val="nil"/>
                  </w:tcBorders>
                  <w:noWrap w:val="0"/>
                  <w:vAlign w:val="center"/>
                </w:tcPr>
                <w:p>
                  <w:pPr>
                    <w:snapToGrid w:val="0"/>
                    <w:spacing w:before="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bl>
          <w:p>
            <w:pPr>
              <w:widowControl/>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本项目喷漆过程中</w:t>
            </w:r>
            <w:r>
              <w:rPr>
                <w:rFonts w:hint="eastAsia" w:ascii="Times New Roman" w:hAnsi="Times New Roman" w:eastAsia="宋体" w:cs="Times New Roman"/>
                <w:color w:val="auto"/>
                <w:sz w:val="24"/>
                <w:szCs w:val="24"/>
                <w:lang w:eastAsia="zh-CN"/>
              </w:rPr>
              <w:t>有组织及无组织</w:t>
            </w:r>
            <w:r>
              <w:rPr>
                <w:rFonts w:hint="default" w:ascii="Times New Roman" w:hAnsi="Times New Roman" w:eastAsia="宋体" w:cs="Times New Roman"/>
                <w:color w:val="auto"/>
                <w:sz w:val="24"/>
                <w:szCs w:val="24"/>
              </w:rPr>
              <w:t>排放非甲烷总烃参照执行《山西省重点行业挥发性有机物2017年专项治理方案》表一、表二工业涂装行业限值要求，漆雾中颗粒物执行《大气污染物综合排放标准》（GB16297-1996）表2中的二级标准，具体标准见表</w:t>
            </w:r>
            <w:r>
              <w:rPr>
                <w:rFonts w:hint="eastAsia" w:ascii="Times New Roman" w:hAnsi="Times New Roman" w:eastAsia="宋体" w:cs="Times New Roman"/>
                <w:color w:val="auto"/>
                <w:sz w:val="24"/>
                <w:szCs w:val="24"/>
                <w:lang w:val="en-US" w:eastAsia="zh-CN"/>
              </w:rPr>
              <w:t>14</w:t>
            </w:r>
            <w:r>
              <w:rPr>
                <w:rFonts w:hint="default" w:ascii="Times New Roman" w:hAnsi="Times New Roman" w:eastAsia="宋体" w:cs="Times New Roman"/>
                <w:color w:val="auto"/>
                <w:sz w:val="24"/>
                <w:szCs w:val="24"/>
              </w:rPr>
              <w:t>。</w:t>
            </w:r>
          </w:p>
          <w:p>
            <w:pPr>
              <w:snapToGrid w:val="0"/>
              <w:spacing w:line="48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14</w:t>
            </w:r>
            <w:r>
              <w:rPr>
                <w:rFonts w:hint="default" w:ascii="Times New Roman" w:hAnsi="Times New Roman" w:eastAsia="宋体" w:cs="Times New Roman"/>
                <w:b/>
                <w:color w:val="auto"/>
                <w:szCs w:val="21"/>
              </w:rPr>
              <w:t>大气污染物排放执行标准</w:t>
            </w:r>
          </w:p>
          <w:tbl>
            <w:tblPr>
              <w:tblStyle w:val="20"/>
              <w:tblW w:w="5000" w:type="pct"/>
              <w:tblInd w:w="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92"/>
              <w:gridCol w:w="1323"/>
              <w:gridCol w:w="1896"/>
              <w:gridCol w:w="2045"/>
              <w:gridCol w:w="36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 w:hRule="atLeast"/>
              </w:trPr>
              <w:tc>
                <w:tcPr>
                  <w:tcW w:w="361"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序号</w:t>
                  </w:r>
                </w:p>
              </w:tc>
              <w:tc>
                <w:tcPr>
                  <w:tcW w:w="69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污染物</w:t>
                  </w:r>
                </w:p>
              </w:tc>
              <w:tc>
                <w:tcPr>
                  <w:tcW w:w="989"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标准值</w:t>
                  </w:r>
                </w:p>
              </w:tc>
              <w:tc>
                <w:tcPr>
                  <w:tcW w:w="1067"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备注</w:t>
                  </w:r>
                </w:p>
              </w:tc>
              <w:tc>
                <w:tcPr>
                  <w:tcW w:w="1891"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选用标准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 w:hRule="atLeast"/>
              </w:trPr>
              <w:tc>
                <w:tcPr>
                  <w:tcW w:w="361" w:type="pct"/>
                  <w:vMerge w:val="restar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w:t>
                  </w:r>
                </w:p>
              </w:tc>
              <w:tc>
                <w:tcPr>
                  <w:tcW w:w="690" w:type="pct"/>
                  <w:vMerge w:val="restar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非甲烷总烃</w:t>
                  </w:r>
                </w:p>
              </w:tc>
              <w:tc>
                <w:tcPr>
                  <w:tcW w:w="989" w:type="pct"/>
                  <w:tcBorders>
                    <w:tl2br w:val="nil"/>
                    <w:tr2bl w:val="nil"/>
                  </w:tcBorders>
                  <w:noWrap w:val="0"/>
                  <w:vAlign w:val="center"/>
                </w:tcPr>
                <w:p>
                  <w:pPr>
                    <w:adjustRightInd w:val="0"/>
                    <w:snapToGrid w:val="0"/>
                    <w:spacing w:line="320" w:lineRule="exact"/>
                    <w:ind w:firstLine="7"/>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60mg/m</w:t>
                  </w:r>
                  <w:r>
                    <w:rPr>
                      <w:rFonts w:hint="default" w:ascii="Times New Roman" w:hAnsi="Times New Roman" w:eastAsia="宋体" w:cs="Times New Roman"/>
                      <w:bCs/>
                      <w:color w:val="auto"/>
                      <w:szCs w:val="21"/>
                      <w:vertAlign w:val="superscript"/>
                    </w:rPr>
                    <w:t>3</w:t>
                  </w:r>
                </w:p>
              </w:tc>
              <w:tc>
                <w:tcPr>
                  <w:tcW w:w="1067"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最低去除效率70%</w:t>
                  </w:r>
                </w:p>
              </w:tc>
              <w:tc>
                <w:tcPr>
                  <w:tcW w:w="1891" w:type="pct"/>
                  <w:vMerge w:val="restar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eastAsia" w:ascii="Times New Roman" w:hAnsi="Times New Roman" w:eastAsia="宋体"/>
                      <w:bCs/>
                      <w:color w:val="auto"/>
                      <w:szCs w:val="21"/>
                    </w:rPr>
                    <w:t>《山西省重点行业挥发性有机物2017年专项治理方案》表一</w:t>
                  </w:r>
                  <w:r>
                    <w:rPr>
                      <w:rFonts w:hint="eastAsia" w:ascii="Times New Roman" w:hAnsi="Times New Roman" w:eastAsia="宋体"/>
                      <w:bCs/>
                      <w:color w:val="auto"/>
                      <w:szCs w:val="21"/>
                      <w:lang w:eastAsia="zh-CN"/>
                    </w:rPr>
                    <w:t>工业涂装及</w:t>
                  </w:r>
                  <w:r>
                    <w:rPr>
                      <w:rFonts w:hint="eastAsia" w:ascii="Times New Roman" w:hAnsi="Times New Roman" w:eastAsia="宋体"/>
                      <w:bCs/>
                      <w:color w:val="auto"/>
                      <w:szCs w:val="21"/>
                    </w:rPr>
                    <w:t>表二</w:t>
                  </w:r>
                  <w:r>
                    <w:rPr>
                      <w:rFonts w:hint="eastAsia" w:ascii="Times New Roman" w:hAnsi="Times New Roman" w:eastAsia="宋体"/>
                      <w:bCs/>
                      <w:color w:val="auto"/>
                      <w:szCs w:val="21"/>
                      <w:lang w:eastAsia="zh-CN"/>
                    </w:rPr>
                    <w:t>中无组织</w:t>
                  </w:r>
                  <w:r>
                    <w:rPr>
                      <w:rFonts w:hint="eastAsia" w:ascii="Times New Roman" w:hAnsi="Times New Roman" w:eastAsia="宋体"/>
                      <w:bCs/>
                      <w:color w:val="auto"/>
                      <w:szCs w:val="21"/>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 w:hRule="atLeast"/>
              </w:trPr>
              <w:tc>
                <w:tcPr>
                  <w:tcW w:w="361" w:type="pct"/>
                  <w:vMerge w:val="continue"/>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p>
              </w:tc>
              <w:tc>
                <w:tcPr>
                  <w:tcW w:w="690" w:type="pct"/>
                  <w:vMerge w:val="continue"/>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p>
              </w:tc>
              <w:tc>
                <w:tcPr>
                  <w:tcW w:w="989" w:type="pct"/>
                  <w:tcBorders>
                    <w:tl2br w:val="nil"/>
                    <w:tr2bl w:val="nil"/>
                  </w:tcBorders>
                  <w:noWrap w:val="0"/>
                  <w:vAlign w:val="center"/>
                </w:tcPr>
                <w:p>
                  <w:pPr>
                    <w:adjustRightInd w:val="0"/>
                    <w:snapToGrid w:val="0"/>
                    <w:spacing w:line="320" w:lineRule="exact"/>
                    <w:ind w:firstLine="7"/>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2.0</w:t>
                  </w:r>
                  <w:r>
                    <w:rPr>
                      <w:rFonts w:hint="default" w:ascii="Times New Roman" w:hAnsi="Times New Roman" w:eastAsia="宋体" w:cs="Times New Roman"/>
                      <w:bCs/>
                      <w:color w:val="auto"/>
                      <w:szCs w:val="21"/>
                    </w:rPr>
                    <w:t>mg/m</w:t>
                  </w:r>
                  <w:r>
                    <w:rPr>
                      <w:rFonts w:hint="default" w:ascii="Times New Roman" w:hAnsi="Times New Roman" w:eastAsia="宋体" w:cs="Times New Roman"/>
                      <w:bCs/>
                      <w:color w:val="auto"/>
                      <w:szCs w:val="21"/>
                      <w:vertAlign w:val="superscript"/>
                    </w:rPr>
                    <w:t>3</w:t>
                  </w:r>
                </w:p>
              </w:tc>
              <w:tc>
                <w:tcPr>
                  <w:tcW w:w="1067"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企业边界排放限值</w:t>
                  </w:r>
                </w:p>
              </w:tc>
              <w:tc>
                <w:tcPr>
                  <w:tcW w:w="1891" w:type="pct"/>
                  <w:vMerge w:val="continue"/>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 w:hRule="atLeast"/>
              </w:trPr>
              <w:tc>
                <w:tcPr>
                  <w:tcW w:w="361" w:type="pct"/>
                  <w:tcBorders>
                    <w:tl2br w:val="nil"/>
                    <w:tr2bl w:val="nil"/>
                  </w:tcBorders>
                  <w:noWrap w:val="0"/>
                  <w:vAlign w:val="center"/>
                </w:tcPr>
                <w:p>
                  <w:pPr>
                    <w:adjustRightInd w:val="0"/>
                    <w:snapToGrid w:val="0"/>
                    <w:spacing w:line="320" w:lineRule="exact"/>
                    <w:jc w:val="center"/>
                    <w:rPr>
                      <w:rFonts w:hint="eastAsia" w:ascii="Times New Roman" w:hAnsi="Times New Roman" w:eastAsia="宋体" w:cs="Times New Roman"/>
                      <w:bCs/>
                      <w:color w:val="auto"/>
                      <w:szCs w:val="21"/>
                      <w:lang w:eastAsia="zh-CN"/>
                    </w:rPr>
                  </w:pPr>
                  <w:r>
                    <w:rPr>
                      <w:rFonts w:hint="eastAsia" w:ascii="Times New Roman" w:hAnsi="Times New Roman" w:eastAsia="宋体" w:cs="Times New Roman"/>
                      <w:bCs/>
                      <w:color w:val="auto"/>
                      <w:szCs w:val="21"/>
                      <w:lang w:val="en-US" w:eastAsia="zh-CN"/>
                    </w:rPr>
                    <w:t>2</w:t>
                  </w:r>
                </w:p>
              </w:tc>
              <w:tc>
                <w:tcPr>
                  <w:tcW w:w="69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颗粒物</w:t>
                  </w:r>
                </w:p>
              </w:tc>
              <w:tc>
                <w:tcPr>
                  <w:tcW w:w="989" w:type="pct"/>
                  <w:tcBorders>
                    <w:tl2br w:val="nil"/>
                    <w:tr2bl w:val="nil"/>
                  </w:tcBorders>
                  <w:noWrap w:val="0"/>
                  <w:vAlign w:val="center"/>
                </w:tcPr>
                <w:p>
                  <w:pPr>
                    <w:adjustRightInd w:val="0"/>
                    <w:snapToGrid w:val="0"/>
                    <w:spacing w:line="320" w:lineRule="exact"/>
                    <w:ind w:firstLine="7"/>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120mg/m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，4.9kg/h</w:t>
                  </w:r>
                </w:p>
              </w:tc>
              <w:tc>
                <w:tcPr>
                  <w:tcW w:w="1067"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w:t>
                  </w:r>
                </w:p>
              </w:tc>
              <w:tc>
                <w:tcPr>
                  <w:tcW w:w="1891"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《大气污染物综合排放标准》（GB16297-1996）表2中二级标准</w:t>
                  </w:r>
                </w:p>
              </w:tc>
            </w:tr>
          </w:tbl>
          <w:p>
            <w:pPr>
              <w:widowControl/>
              <w:adjustRightInd w:val="0"/>
              <w:snapToGrid w:val="0"/>
              <w:spacing w:line="480" w:lineRule="exac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二</w:t>
            </w:r>
            <w:r>
              <w:rPr>
                <w:rFonts w:hint="default" w:ascii="Times New Roman" w:hAnsi="Times New Roman" w:eastAsia="宋体" w:cs="Times New Roman"/>
                <w:color w:val="auto"/>
                <w:sz w:val="24"/>
                <w:szCs w:val="24"/>
              </w:rPr>
              <w:t>、水污染物排放标准</w:t>
            </w:r>
          </w:p>
          <w:p>
            <w:pPr>
              <w:adjustRightInd w:val="0"/>
              <w:snapToGrid w:val="0"/>
              <w:spacing w:before="156" w:beforeLines="50" w:line="480" w:lineRule="exact"/>
              <w:ind w:firstLine="480" w:firstLineChars="200"/>
              <w:rPr>
                <w:rFonts w:hint="eastAsia" w:ascii="Times New Roman" w:hAnsi="Times New Roman" w:eastAsia="宋体"/>
                <w:color w:val="auto"/>
                <w:sz w:val="24"/>
              </w:rPr>
            </w:pPr>
            <w:r>
              <w:rPr>
                <w:rFonts w:hint="eastAsia" w:ascii="Times New Roman" w:hAnsi="Times New Roman" w:eastAsia="宋体"/>
                <w:color w:val="auto"/>
                <w:sz w:val="24"/>
                <w:lang w:val="en-US" w:eastAsia="zh-CN"/>
              </w:rPr>
              <w:t>本</w:t>
            </w:r>
            <w:r>
              <w:rPr>
                <w:rFonts w:hint="eastAsia" w:ascii="Times New Roman" w:hAnsi="Times New Roman" w:eastAsia="宋体"/>
                <w:color w:val="auto"/>
                <w:sz w:val="24"/>
              </w:rPr>
              <w:t>项目生产废水为冲洗支架等设备和车间的冲洗</w:t>
            </w:r>
            <w:r>
              <w:rPr>
                <w:rFonts w:ascii="Times New Roman" w:hAnsi="Times New Roman" w:eastAsia="宋体"/>
                <w:color w:val="auto"/>
                <w:sz w:val="24"/>
              </w:rPr>
              <w:t>水，</w:t>
            </w:r>
            <w:r>
              <w:rPr>
                <w:rFonts w:hint="eastAsia" w:ascii="Times New Roman" w:hAnsi="Times New Roman" w:eastAsia="宋体"/>
                <w:color w:val="auto"/>
                <w:sz w:val="24"/>
              </w:rPr>
              <w:t>冲洗水量为15</w:t>
            </w:r>
            <w:r>
              <w:rPr>
                <w:rFonts w:ascii="Times New Roman" w:hAnsi="Times New Roman" w:eastAsia="宋体"/>
                <w:color w:val="auto"/>
                <w:sz w:val="24"/>
              </w:rPr>
              <w:t>m</w:t>
            </w:r>
            <w:r>
              <w:rPr>
                <w:rFonts w:ascii="Times New Roman" w:hAnsi="Times New Roman" w:eastAsia="宋体"/>
                <w:color w:val="auto"/>
                <w:sz w:val="24"/>
                <w:vertAlign w:val="superscript"/>
              </w:rPr>
              <w:t>3</w:t>
            </w:r>
            <w:r>
              <w:rPr>
                <w:rFonts w:ascii="Times New Roman" w:hAnsi="Times New Roman" w:eastAsia="宋体"/>
                <w:color w:val="auto"/>
                <w:sz w:val="24"/>
              </w:rPr>
              <w:t>/</w:t>
            </w:r>
            <w:r>
              <w:rPr>
                <w:rFonts w:hint="eastAsia" w:ascii="Times New Roman" w:hAnsi="Times New Roman" w:eastAsia="宋体"/>
                <w:color w:val="auto"/>
                <w:sz w:val="24"/>
              </w:rPr>
              <w:t>d</w:t>
            </w:r>
            <w:r>
              <w:rPr>
                <w:rFonts w:hint="eastAsia" w:ascii="Times New Roman" w:hAnsi="Times New Roman" w:eastAsia="宋体"/>
                <w:color w:val="auto"/>
                <w:sz w:val="24"/>
                <w:lang w:eastAsia="zh-CN"/>
              </w:rPr>
              <w:t>（</w:t>
            </w:r>
            <w:r>
              <w:rPr>
                <w:rFonts w:hint="eastAsia" w:ascii="Times New Roman" w:hAnsi="Times New Roman" w:eastAsia="宋体"/>
                <w:color w:val="auto"/>
                <w:sz w:val="24"/>
              </w:rPr>
              <w:t>4500</w:t>
            </w:r>
            <w:r>
              <w:rPr>
                <w:rFonts w:ascii="Times New Roman" w:hAnsi="Times New Roman" w:eastAsia="宋体"/>
                <w:color w:val="auto"/>
                <w:sz w:val="24"/>
              </w:rPr>
              <w:t>m</w:t>
            </w:r>
            <w:r>
              <w:rPr>
                <w:rFonts w:ascii="Times New Roman" w:hAnsi="Times New Roman" w:eastAsia="宋体"/>
                <w:color w:val="auto"/>
                <w:sz w:val="24"/>
                <w:vertAlign w:val="superscript"/>
              </w:rPr>
              <w:t>3</w:t>
            </w:r>
            <w:r>
              <w:rPr>
                <w:rFonts w:ascii="Times New Roman" w:hAnsi="Times New Roman" w:eastAsia="宋体"/>
                <w:color w:val="auto"/>
                <w:sz w:val="24"/>
              </w:rPr>
              <w:t>/</w:t>
            </w:r>
            <w:r>
              <w:rPr>
                <w:rFonts w:hint="eastAsia" w:ascii="Times New Roman" w:hAnsi="Times New Roman" w:eastAsia="宋体"/>
                <w:color w:val="auto"/>
                <w:sz w:val="24"/>
              </w:rPr>
              <w:t>a</w:t>
            </w:r>
            <w:r>
              <w:rPr>
                <w:rFonts w:hint="eastAsia" w:ascii="Times New Roman" w:hAnsi="Times New Roman" w:eastAsia="宋体"/>
                <w:color w:val="auto"/>
                <w:sz w:val="24"/>
                <w:lang w:eastAsia="zh-CN"/>
              </w:rPr>
              <w:t>）</w:t>
            </w:r>
            <w:r>
              <w:rPr>
                <w:rFonts w:hint="eastAsia" w:ascii="Times New Roman" w:hAnsi="Times New Roman" w:eastAsia="宋体"/>
                <w:color w:val="auto"/>
                <w:sz w:val="24"/>
              </w:rPr>
              <w:t>。</w:t>
            </w:r>
            <w:r>
              <w:rPr>
                <w:rFonts w:ascii="Times New Roman" w:hAnsi="Times New Roman" w:eastAsia="宋体"/>
                <w:color w:val="auto"/>
                <w:sz w:val="24"/>
              </w:rPr>
              <w:t>环评要求</w:t>
            </w:r>
            <w:r>
              <w:rPr>
                <w:rFonts w:hint="eastAsia" w:ascii="Times New Roman" w:hAnsi="Times New Roman" w:eastAsia="宋体"/>
                <w:color w:val="auto"/>
                <w:sz w:val="24"/>
              </w:rPr>
              <w:t>冲洗废水经含油废水处理系统处理后回用于冲洗支架等设备，</w:t>
            </w:r>
            <w:r>
              <w:rPr>
                <w:rFonts w:hint="eastAsia" w:ascii="Times New Roman" w:hAnsi="Times New Roman" w:eastAsia="宋体"/>
                <w:color w:val="auto"/>
                <w:sz w:val="24"/>
                <w:lang w:val="en-US" w:eastAsia="zh-CN"/>
              </w:rPr>
              <w:t>不外排</w:t>
            </w:r>
            <w:r>
              <w:rPr>
                <w:rFonts w:hint="eastAsia" w:ascii="Times New Roman" w:hAnsi="Times New Roman" w:eastAsia="宋体"/>
                <w:color w:val="auto"/>
                <w:sz w:val="24"/>
              </w:rPr>
              <w:t>。</w:t>
            </w:r>
          </w:p>
          <w:p>
            <w:pPr>
              <w:widowControl/>
              <w:adjustRightInd w:val="0"/>
              <w:snapToGrid w:val="0"/>
              <w:spacing w:line="480" w:lineRule="exact"/>
              <w:ind w:firstLine="480" w:firstLineChars="200"/>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color w:val="auto"/>
                <w:sz w:val="24"/>
                <w:lang w:val="en-US" w:eastAsia="zh-CN"/>
              </w:rPr>
              <w:t>生活污水主要是洗漱废水，经沉淀池收集</w:t>
            </w:r>
            <w:r>
              <w:rPr>
                <w:rFonts w:hint="eastAsia" w:ascii="Times New Roman" w:hAnsi="Times New Roman" w:eastAsia="宋体" w:cs="Times New Roman"/>
                <w:color w:val="auto"/>
                <w:sz w:val="24"/>
              </w:rPr>
              <w:t>后回用</w:t>
            </w:r>
            <w:r>
              <w:rPr>
                <w:rFonts w:hint="eastAsia" w:ascii="Times New Roman" w:hAnsi="Times New Roman" w:eastAsia="宋体" w:cs="Times New Roman"/>
                <w:color w:val="auto"/>
                <w:sz w:val="24"/>
                <w:lang w:val="en-US" w:eastAsia="zh-CN"/>
              </w:rPr>
              <w:t>于绿化、道路洒水</w:t>
            </w:r>
            <w:r>
              <w:rPr>
                <w:rFonts w:hint="eastAsia" w:ascii="Times New Roman" w:hAnsi="Times New Roman" w:eastAsia="宋体"/>
                <w:color w:val="auto"/>
                <w:sz w:val="24"/>
                <w:lang w:val="en-US" w:eastAsia="zh-CN"/>
              </w:rPr>
              <w:t>，不外排。</w:t>
            </w:r>
          </w:p>
          <w:p>
            <w:pPr>
              <w:widowControl/>
              <w:adjustRightInd w:val="0"/>
              <w:snapToGrid w:val="0"/>
              <w:spacing w:line="480" w:lineRule="exac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三</w:t>
            </w:r>
            <w:r>
              <w:rPr>
                <w:rFonts w:hint="default" w:ascii="Times New Roman" w:hAnsi="Times New Roman" w:eastAsia="宋体" w:cs="Times New Roman"/>
                <w:color w:val="auto"/>
                <w:sz w:val="24"/>
                <w:szCs w:val="24"/>
              </w:rPr>
              <w:t>、噪声排放标准</w:t>
            </w:r>
          </w:p>
          <w:p>
            <w:pPr>
              <w:widowControl/>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本项目施工期噪声排放执行《建筑施工场界环境噪声排放标准》（GB12523-2011）要求。具体见表</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；运行期</w:t>
            </w:r>
            <w:r>
              <w:rPr>
                <w:rFonts w:hint="default" w:ascii="Times New Roman" w:hAnsi="Times New Roman" w:eastAsia="宋体" w:cs="Times New Roman"/>
                <w:color w:val="auto"/>
                <w:sz w:val="24"/>
                <w:szCs w:val="24"/>
                <w:lang w:eastAsia="zh-CN"/>
              </w:rPr>
              <w:t>厂界</w:t>
            </w:r>
            <w:r>
              <w:rPr>
                <w:rFonts w:hint="default" w:ascii="Times New Roman" w:hAnsi="Times New Roman" w:eastAsia="宋体" w:cs="Times New Roman"/>
                <w:color w:val="auto"/>
                <w:sz w:val="24"/>
                <w:szCs w:val="24"/>
              </w:rPr>
              <w:t>噪声排放执行《工业企业厂界环境噪声排放标准》（GB12348-2008）</w:t>
            </w:r>
            <w:r>
              <w:rPr>
                <w:rFonts w:hint="eastAsia"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sz w:val="24"/>
                <w:szCs w:val="24"/>
              </w:rPr>
              <w:t>要求，具体见表</w:t>
            </w:r>
            <w:r>
              <w:rPr>
                <w:rFonts w:hint="eastAsia"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rPr>
              <w:t>。</w:t>
            </w:r>
          </w:p>
          <w:p>
            <w:pPr>
              <w:snapToGrid w:val="0"/>
              <w:spacing w:line="46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15</w:t>
            </w:r>
            <w:r>
              <w:rPr>
                <w:rFonts w:hint="default" w:ascii="Times New Roman" w:hAnsi="Times New Roman" w:eastAsia="宋体" w:cs="Times New Roman"/>
                <w:b/>
                <w:color w:val="auto"/>
                <w:szCs w:val="21"/>
              </w:rPr>
              <w:t>《建筑施工厂界环境噪声排放标准》（GB12523-2011）单位：dB（A）</w:t>
            </w:r>
          </w:p>
          <w:tbl>
            <w:tblPr>
              <w:tblStyle w:val="20"/>
              <w:tblW w:w="0" w:type="auto"/>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 w:hRule="atLeast"/>
              </w:trPr>
              <w:tc>
                <w:tcPr>
                  <w:tcW w:w="4643" w:type="dxa"/>
                  <w:tcBorders>
                    <w:tl2br w:val="nil"/>
                    <w:tr2bl w:val="nil"/>
                  </w:tcBorders>
                  <w:noWrap w:val="0"/>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昼间</w:t>
                  </w:r>
                </w:p>
              </w:tc>
              <w:tc>
                <w:tcPr>
                  <w:tcW w:w="4643" w:type="dxa"/>
                  <w:tcBorders>
                    <w:tl2br w:val="nil"/>
                    <w:tr2bl w:val="nil"/>
                  </w:tcBorders>
                  <w:noWrap w:val="0"/>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 w:hRule="atLeast"/>
              </w:trPr>
              <w:tc>
                <w:tcPr>
                  <w:tcW w:w="4643" w:type="dxa"/>
                  <w:tcBorders>
                    <w:tl2br w:val="nil"/>
                    <w:tr2bl w:val="nil"/>
                  </w:tcBorders>
                  <w:noWrap w:val="0"/>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70</w:t>
                  </w:r>
                </w:p>
              </w:tc>
              <w:tc>
                <w:tcPr>
                  <w:tcW w:w="4643" w:type="dxa"/>
                  <w:tcBorders>
                    <w:tl2br w:val="nil"/>
                    <w:tr2bl w:val="nil"/>
                  </w:tcBorders>
                  <w:noWrap w:val="0"/>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55</w:t>
                  </w:r>
                </w:p>
              </w:tc>
            </w:tr>
          </w:tbl>
          <w:p>
            <w:pPr>
              <w:snapToGrid w:val="0"/>
              <w:spacing w:line="4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16</w:t>
            </w:r>
            <w:r>
              <w:rPr>
                <w:rFonts w:hint="default" w:ascii="Times New Roman" w:hAnsi="Times New Roman" w:eastAsia="宋体" w:cs="Times New Roman"/>
                <w:b/>
                <w:color w:val="auto"/>
                <w:szCs w:val="21"/>
              </w:rPr>
              <w:t>《工业企业厂界环境噪声排放标准》（GB12348-2008）单位：dB(A)</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1441"/>
              <w:gridCol w:w="1550"/>
              <w:gridCol w:w="1575"/>
              <w:gridCol w:w="3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1" w:type="pct"/>
                  <w:vMerge w:val="restart"/>
                  <w:tcBorders>
                    <w:tl2br w:val="nil"/>
                    <w:tr2bl w:val="nil"/>
                  </w:tcBorders>
                  <w:noWrap w:val="0"/>
                  <w:tcMar>
                    <w:left w:w="0" w:type="dxa"/>
                    <w:right w:w="0" w:type="dxa"/>
                  </w:tcMar>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适用区域</w:t>
                  </w:r>
                </w:p>
              </w:tc>
              <w:tc>
                <w:tcPr>
                  <w:tcW w:w="752" w:type="pct"/>
                  <w:vMerge w:val="restart"/>
                  <w:tcBorders>
                    <w:tl2br w:val="nil"/>
                    <w:tr2bl w:val="nil"/>
                  </w:tcBorders>
                  <w:noWrap w:val="0"/>
                  <w:tcMar>
                    <w:left w:w="0" w:type="dxa"/>
                    <w:right w:w="0" w:type="dxa"/>
                  </w:tcMar>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功能区类别</w:t>
                  </w:r>
                </w:p>
              </w:tc>
              <w:tc>
                <w:tcPr>
                  <w:tcW w:w="1631" w:type="pct"/>
                  <w:gridSpan w:val="2"/>
                  <w:tcBorders>
                    <w:tl2br w:val="nil"/>
                    <w:tr2bl w:val="nil"/>
                  </w:tcBorders>
                  <w:noWrap w:val="0"/>
                  <w:tcMar>
                    <w:left w:w="0" w:type="dxa"/>
                    <w:right w:w="0" w:type="dxa"/>
                  </w:tcMar>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标准限值（dB（A））</w:t>
                  </w:r>
                </w:p>
              </w:tc>
              <w:tc>
                <w:tcPr>
                  <w:tcW w:w="1694" w:type="pct"/>
                  <w:vMerge w:val="restart"/>
                  <w:tcBorders>
                    <w:tl2br w:val="nil"/>
                    <w:tr2bl w:val="nil"/>
                  </w:tcBorders>
                  <w:noWrap w:val="0"/>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1" w:type="pct"/>
                  <w:vMerge w:val="continue"/>
                  <w:tcBorders>
                    <w:tl2br w:val="nil"/>
                    <w:tr2bl w:val="nil"/>
                  </w:tcBorders>
                  <w:noWrap w:val="0"/>
                  <w:tcMar>
                    <w:left w:w="0" w:type="dxa"/>
                    <w:right w:w="0" w:type="dxa"/>
                  </w:tcMar>
                  <w:vAlign w:val="center"/>
                </w:tcPr>
                <w:p>
                  <w:pPr>
                    <w:jc w:val="center"/>
                    <w:rPr>
                      <w:rFonts w:ascii="Times New Roman" w:hAnsi="Times New Roman" w:eastAsia="宋体" w:cs="宋体"/>
                      <w:color w:val="auto"/>
                      <w:sz w:val="20"/>
                      <w:szCs w:val="20"/>
                    </w:rPr>
                  </w:pPr>
                </w:p>
              </w:tc>
              <w:tc>
                <w:tcPr>
                  <w:tcW w:w="752" w:type="pct"/>
                  <w:vMerge w:val="continue"/>
                  <w:tcBorders>
                    <w:tl2br w:val="nil"/>
                    <w:tr2bl w:val="nil"/>
                  </w:tcBorders>
                  <w:noWrap w:val="0"/>
                  <w:tcMar>
                    <w:left w:w="0" w:type="dxa"/>
                    <w:right w:w="0" w:type="dxa"/>
                  </w:tcMar>
                  <w:vAlign w:val="center"/>
                </w:tcPr>
                <w:p>
                  <w:pPr>
                    <w:jc w:val="center"/>
                    <w:rPr>
                      <w:rFonts w:ascii="Times New Roman" w:hAnsi="Times New Roman" w:eastAsia="宋体" w:cs="宋体"/>
                      <w:color w:val="auto"/>
                      <w:sz w:val="20"/>
                      <w:szCs w:val="20"/>
                    </w:rPr>
                  </w:pPr>
                </w:p>
              </w:tc>
              <w:tc>
                <w:tcPr>
                  <w:tcW w:w="809" w:type="pct"/>
                  <w:tcBorders>
                    <w:tl2br w:val="nil"/>
                    <w:tr2bl w:val="nil"/>
                  </w:tcBorders>
                  <w:noWrap w:val="0"/>
                  <w:tcMar>
                    <w:left w:w="0" w:type="dxa"/>
                    <w:right w:w="0" w:type="dxa"/>
                  </w:tcMar>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昼间</w:t>
                  </w:r>
                </w:p>
              </w:tc>
              <w:tc>
                <w:tcPr>
                  <w:tcW w:w="822" w:type="pct"/>
                  <w:tcBorders>
                    <w:tl2br w:val="nil"/>
                    <w:tr2bl w:val="nil"/>
                  </w:tcBorders>
                  <w:noWrap w:val="0"/>
                  <w:tcMar>
                    <w:left w:w="0" w:type="dxa"/>
                    <w:right w:w="0" w:type="dxa"/>
                  </w:tcMar>
                  <w:vAlign w:val="center"/>
                </w:tcPr>
                <w:p>
                  <w:pPr>
                    <w:jc w:val="center"/>
                    <w:rPr>
                      <w:rFonts w:ascii="Times New Roman" w:hAnsi="Times New Roman" w:eastAsia="宋体" w:cs="宋体"/>
                      <w:b/>
                      <w:color w:val="auto"/>
                      <w:sz w:val="20"/>
                      <w:szCs w:val="20"/>
                    </w:rPr>
                  </w:pPr>
                  <w:r>
                    <w:rPr>
                      <w:rFonts w:hint="eastAsia" w:ascii="Times New Roman" w:hAnsi="Times New Roman" w:eastAsia="宋体" w:cs="宋体"/>
                      <w:b/>
                      <w:color w:val="auto"/>
                      <w:sz w:val="20"/>
                      <w:szCs w:val="20"/>
                    </w:rPr>
                    <w:t>夜间</w:t>
                  </w:r>
                </w:p>
              </w:tc>
              <w:tc>
                <w:tcPr>
                  <w:tcW w:w="1694" w:type="pct"/>
                  <w:vMerge w:val="continue"/>
                  <w:tcBorders>
                    <w:tl2br w:val="nil"/>
                    <w:tr2bl w:val="nil"/>
                  </w:tcBorders>
                  <w:noWrap w:val="0"/>
                  <w:vAlign w:val="center"/>
                </w:tcPr>
                <w:p>
                  <w:pPr>
                    <w:jc w:val="center"/>
                    <w:rPr>
                      <w:rFonts w:ascii="Times New Roman" w:hAnsi="Times New Roman" w:eastAsia="宋体" w:cs="宋体"/>
                      <w:b/>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1"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东、</w:t>
                  </w:r>
                  <w:r>
                    <w:rPr>
                      <w:rFonts w:hint="eastAsia" w:ascii="Times New Roman" w:hAnsi="Times New Roman" w:eastAsia="宋体" w:cs="Times New Roman"/>
                      <w:b w:val="0"/>
                      <w:color w:val="auto"/>
                      <w:sz w:val="21"/>
                      <w:szCs w:val="21"/>
                      <w:lang w:val="en-US" w:eastAsia="zh-CN"/>
                    </w:rPr>
                    <w:t>南、北</w:t>
                  </w:r>
                  <w:r>
                    <w:rPr>
                      <w:rFonts w:hint="default" w:ascii="Times New Roman" w:hAnsi="Times New Roman" w:eastAsia="宋体" w:cs="Times New Roman"/>
                      <w:b w:val="0"/>
                      <w:color w:val="auto"/>
                      <w:sz w:val="21"/>
                      <w:szCs w:val="21"/>
                      <w:lang w:val="en-US" w:eastAsia="zh-CN"/>
                    </w:rPr>
                    <w:t>厂界</w:t>
                  </w:r>
                </w:p>
              </w:tc>
              <w:tc>
                <w:tcPr>
                  <w:tcW w:w="752"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2</w:t>
                  </w:r>
                  <w:r>
                    <w:rPr>
                      <w:rFonts w:hint="default" w:ascii="Times New Roman" w:hAnsi="Times New Roman" w:eastAsia="宋体" w:cs="Times New Roman"/>
                      <w:b w:val="0"/>
                      <w:color w:val="auto"/>
                      <w:sz w:val="21"/>
                      <w:szCs w:val="21"/>
                      <w:lang w:val="en-US" w:eastAsia="zh-CN"/>
                    </w:rPr>
                    <w:t>类</w:t>
                  </w:r>
                </w:p>
              </w:tc>
              <w:tc>
                <w:tcPr>
                  <w:tcW w:w="1552" w:type="dxa"/>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60</w:t>
                  </w:r>
                </w:p>
              </w:tc>
              <w:tc>
                <w:tcPr>
                  <w:tcW w:w="1577" w:type="dxa"/>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50</w:t>
                  </w:r>
                </w:p>
              </w:tc>
              <w:tc>
                <w:tcPr>
                  <w:tcW w:w="1694" w:type="pct"/>
                  <w:vMerge w:val="restart"/>
                  <w:tcBorders>
                    <w:tl2br w:val="nil"/>
                    <w:tr2bl w:val="nil"/>
                  </w:tcBorders>
                  <w:noWrap w:val="0"/>
                  <w:vAlign w:val="center"/>
                </w:tcPr>
                <w:p>
                  <w:pPr>
                    <w:jc w:val="center"/>
                    <w:rPr>
                      <w:rFonts w:ascii="Times New Roman" w:hAnsi="Times New Roman" w:eastAsia="宋体"/>
                      <w:color w:val="auto"/>
                      <w:sz w:val="20"/>
                      <w:szCs w:val="20"/>
                    </w:rPr>
                  </w:pPr>
                  <w:r>
                    <w:rPr>
                      <w:rFonts w:ascii="Times New Roman" w:hAnsi="Times New Roman" w:eastAsia="宋体"/>
                      <w:color w:val="auto"/>
                      <w:sz w:val="20"/>
                      <w:szCs w:val="20"/>
                    </w:rPr>
                    <w:t>《工业企业厂界环境噪声排放标准》（GB12348-2008）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1"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西</w:t>
                  </w:r>
                  <w:r>
                    <w:rPr>
                      <w:rFonts w:hint="default" w:ascii="Times New Roman" w:hAnsi="Times New Roman" w:eastAsia="宋体" w:cs="Times New Roman"/>
                      <w:b w:val="0"/>
                      <w:color w:val="auto"/>
                      <w:sz w:val="21"/>
                      <w:szCs w:val="21"/>
                      <w:lang w:val="en-US" w:eastAsia="zh-CN"/>
                    </w:rPr>
                    <w:t>厂界</w:t>
                  </w:r>
                </w:p>
              </w:tc>
              <w:tc>
                <w:tcPr>
                  <w:tcW w:w="752"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4</w:t>
                  </w:r>
                  <w:r>
                    <w:rPr>
                      <w:rFonts w:hint="default" w:ascii="Times New Roman" w:hAnsi="Times New Roman" w:eastAsia="宋体" w:cs="Times New Roman"/>
                      <w:b w:val="0"/>
                      <w:color w:val="auto"/>
                      <w:sz w:val="21"/>
                      <w:szCs w:val="21"/>
                      <w:lang w:val="en-US" w:eastAsia="zh-CN"/>
                    </w:rPr>
                    <w:t>类</w:t>
                  </w:r>
                </w:p>
              </w:tc>
              <w:tc>
                <w:tcPr>
                  <w:tcW w:w="809"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70</w:t>
                  </w:r>
                </w:p>
              </w:tc>
              <w:tc>
                <w:tcPr>
                  <w:tcW w:w="822" w:type="pct"/>
                  <w:tcBorders>
                    <w:tl2br w:val="nil"/>
                    <w:tr2bl w:val="nil"/>
                  </w:tcBorders>
                  <w:noWrap w:val="0"/>
                  <w:tcMar>
                    <w:left w:w="0" w:type="dxa"/>
                    <w:right w:w="0" w:type="dxa"/>
                  </w:tcMar>
                  <w:vAlign w:val="center"/>
                </w:tcPr>
                <w:p>
                  <w:pPr>
                    <w:pStyle w:val="28"/>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55</w:t>
                  </w:r>
                </w:p>
              </w:tc>
              <w:tc>
                <w:tcPr>
                  <w:tcW w:w="1694" w:type="pct"/>
                  <w:vMerge w:val="continue"/>
                  <w:tcBorders>
                    <w:tl2br w:val="nil"/>
                    <w:tr2bl w:val="nil"/>
                  </w:tcBorders>
                  <w:noWrap w:val="0"/>
                  <w:vAlign w:val="center"/>
                </w:tcPr>
                <w:p>
                  <w:pPr>
                    <w:jc w:val="center"/>
                    <w:rPr>
                      <w:rFonts w:ascii="Times New Roman" w:hAnsi="Times New Roman" w:eastAsia="宋体"/>
                      <w:color w:val="auto"/>
                      <w:sz w:val="20"/>
                      <w:szCs w:val="20"/>
                    </w:rPr>
                  </w:pPr>
                </w:p>
              </w:tc>
            </w:tr>
          </w:tbl>
          <w:p>
            <w:pPr>
              <w:widowControl/>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四</w:t>
            </w:r>
            <w:r>
              <w:rPr>
                <w:rFonts w:hint="default" w:ascii="Times New Roman" w:hAnsi="Times New Roman" w:eastAsia="宋体" w:cs="Times New Roman"/>
                <w:color w:val="auto"/>
                <w:sz w:val="24"/>
                <w:szCs w:val="24"/>
              </w:rPr>
              <w:t>、固体废物</w:t>
            </w:r>
          </w:p>
          <w:p>
            <w:pPr>
              <w:widowControl/>
              <w:adjustRightInd w:val="0"/>
              <w:snapToGrid w:val="0"/>
              <w:spacing w:line="480" w:lineRule="exact"/>
              <w:ind w:firstLine="480" w:firstLineChars="200"/>
              <w:rPr>
                <w:rFonts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本项目涉及的一般固体废物处置执行《一般工业固体废物贮存、处置场污染控制标准》（GB18599-2001）有关规定及关于发布《一般工业固体废物贮存、处置场污染控制标准》（GB18599-2001）等3项国家污染物控制标准修改单的公告（环境保护部公告2013年第36号）；废油漆桶、废活性炭等危险废物执行《危险废物贮存污染控制标准》GB18596-2001及2013年环保部36号文中修改的内容</w:t>
            </w:r>
            <w:r>
              <w:rPr>
                <w:rFonts w:hint="eastAsia" w:ascii="Times New Roman" w:hAnsi="Times New Roman" w:eastAsia="宋体" w:cs="Times New Roman"/>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总量控制指标</w:t>
            </w:r>
          </w:p>
        </w:tc>
        <w:tc>
          <w:tcPr>
            <w:tcW w:w="9807" w:type="dxa"/>
            <w:tcBorders>
              <w:tl2br w:val="nil"/>
              <w:tr2bl w:val="nil"/>
            </w:tcBorders>
            <w:vAlign w:val="center"/>
          </w:tcPr>
          <w:p>
            <w:pPr>
              <w:widowControl/>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ascii="Times New Roman" w:hAnsi="Times New Roman" w:eastAsia="宋体"/>
                <w:sz w:val="24"/>
                <w:szCs w:val="24"/>
              </w:rPr>
              <w:t>根据《山西省环保厅建设项目主要污染物排放总量核定办法》（晋环发[2015]25号）中的第三条规定：属于环境统计重点工业源调查行业范围内（《国民经济行业分类》（GB/T4754）中采矿业、制造业，电力、燃气及水的生产和供应业，3个门类39个行业）新增主要污染物排放总量的建设项目，在环境影响评价文件</w:t>
            </w:r>
            <w:r>
              <w:rPr>
                <w:rFonts w:hint="default" w:ascii="Times New Roman" w:hAnsi="Times New Roman" w:eastAsia="宋体" w:cs="Times New Roman"/>
                <w:color w:val="auto"/>
                <w:sz w:val="24"/>
                <w:szCs w:val="24"/>
              </w:rPr>
              <w:t>审批前，建设单位需按本办法规定取得主要污染物排放总量指标。</w:t>
            </w:r>
          </w:p>
          <w:p>
            <w:pPr>
              <w:widowControl/>
              <w:adjustRightInd w:val="0"/>
              <w:snapToGrid w:val="0"/>
              <w:spacing w:line="480" w:lineRule="exact"/>
              <w:ind w:firstLine="480" w:firstLineChars="200"/>
              <w:jc w:val="left"/>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吕梁市生态环境局柳林分局于2021年9月1日以柳环函〔2021〕58号对本项目下发了污染物排放总量控制指标的核定意见，核定本项目主要污</w:t>
            </w:r>
            <w:r>
              <w:rPr>
                <w:rFonts w:ascii="Times New Roman" w:hAnsi="Times New Roman" w:eastAsia="宋体" w:cs="Times New Roman"/>
                <w:color w:val="000000" w:themeColor="text1"/>
                <w:sz w:val="24"/>
                <w:szCs w:val="24"/>
                <w14:textFill>
                  <w14:solidFill>
                    <w14:schemeClr w14:val="tx1"/>
                  </w14:solidFill>
                </w14:textFill>
              </w:rPr>
              <w:t>染物排放总量指标</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pPr>
              <w:widowControl/>
              <w:adjustRightInd w:val="0"/>
              <w:snapToGrid w:val="0"/>
              <w:spacing w:line="480" w:lineRule="exact"/>
              <w:ind w:firstLine="480" w:firstLineChars="200"/>
              <w:jc w:val="left"/>
              <w:rPr>
                <w:rFonts w:ascii="Times New Roman" w:hAnsi="Times New Roman" w:eastAsia="宋体"/>
              </w:rPr>
            </w:pPr>
            <w:r>
              <w:rPr>
                <w:rFonts w:hint="eastAsia" w:ascii="Times New Roman" w:hAnsi="Times New Roman" w:eastAsia="宋体" w:cs="Times New Roman"/>
                <w:bCs/>
                <w:color w:val="000000"/>
                <w:sz w:val="24"/>
                <w:szCs w:val="24"/>
                <w:lang w:val="en-US" w:eastAsia="zh-CN"/>
              </w:rPr>
              <w:t>颗粒物</w:t>
            </w:r>
            <w:r>
              <w:rPr>
                <w:rFonts w:hint="eastAsia" w:ascii="Times New Roman" w:hAnsi="Times New Roman" w:eastAsia="宋体" w:cs="Times New Roman"/>
                <w:bCs/>
                <w:color w:val="000000"/>
                <w:sz w:val="24"/>
                <w:szCs w:val="24"/>
              </w:rPr>
              <w:t>：</w:t>
            </w:r>
            <w:r>
              <w:rPr>
                <w:rFonts w:hint="eastAsia" w:ascii="Times New Roman" w:hAnsi="Times New Roman" w:eastAsia="宋体" w:cs="Times New Roman"/>
                <w:bCs/>
                <w:color w:val="000000"/>
                <w:sz w:val="24"/>
                <w:szCs w:val="24"/>
                <w:lang w:val="en-US" w:eastAsia="zh-CN"/>
              </w:rPr>
              <w:t>0.646</w:t>
            </w:r>
            <w:r>
              <w:rPr>
                <w:rFonts w:ascii="Times New Roman" w:hAnsi="Times New Roman" w:eastAsia="宋体" w:cs="Times New Roman"/>
                <w:bCs/>
                <w:color w:val="000000"/>
                <w:sz w:val="24"/>
                <w:szCs w:val="24"/>
              </w:rPr>
              <w:t>t/a</w:t>
            </w:r>
            <w:r>
              <w:rPr>
                <w:rFonts w:hint="eastAsia" w:ascii="Times New Roman" w:hAnsi="Times New Roman" w:eastAsia="宋体" w:cs="Times New Roman"/>
                <w:bCs/>
                <w:color w:val="000000"/>
                <w:sz w:val="24"/>
                <w:szCs w:val="24"/>
                <w:lang w:eastAsia="zh-CN"/>
              </w:rPr>
              <w:t>。</w:t>
            </w:r>
          </w:p>
        </w:tc>
      </w:tr>
    </w:tbl>
    <w:p>
      <w:pPr>
        <w:pStyle w:val="17"/>
        <w:jc w:val="both"/>
        <w:outlineLvl w:val="0"/>
        <w:rPr>
          <w:rFonts w:ascii="Times New Roman" w:hAnsi="Times New Roman" w:eastAsia="宋体"/>
          <w:snapToGrid w:val="0"/>
          <w:color w:val="auto"/>
          <w:sz w:val="36"/>
          <w:szCs w:val="36"/>
        </w:rPr>
        <w:sectPr>
          <w:pgSz w:w="11907" w:h="16840"/>
          <w:pgMar w:top="1417" w:right="1134" w:bottom="1417" w:left="1134" w:header="851" w:footer="851" w:gutter="0"/>
          <w:pgBorders>
            <w:top w:val="none" w:sz="0" w:space="0"/>
            <w:left w:val="none" w:sz="0" w:space="0"/>
            <w:bottom w:val="none" w:sz="0" w:space="0"/>
            <w:right w:val="none" w:sz="0" w:space="0"/>
          </w:pgBorders>
          <w:pgNumType w:fmt="decimal"/>
          <w:cols w:space="720" w:num="1"/>
          <w:docGrid w:linePitch="312" w:charSpace="0"/>
        </w:sectPr>
      </w:pPr>
    </w:p>
    <w:p>
      <w:pPr>
        <w:keepNext/>
        <w:numPr>
          <w:ilvl w:val="0"/>
          <w:numId w:val="3"/>
        </w:numPr>
        <w:overflowPunct w:val="0"/>
        <w:snapToGrid w:val="0"/>
        <w:spacing w:before="156" w:beforeLines="50" w:after="156" w:afterLines="50"/>
        <w:jc w:val="center"/>
        <w:outlineLvl w:val="0"/>
        <w:rPr>
          <w:rFonts w:ascii="Times New Roman" w:hAnsi="Times New Roman" w:eastAsia="宋体" w:cs="Times New Roman"/>
          <w:color w:val="auto"/>
          <w:kern w:val="44"/>
          <w:sz w:val="30"/>
          <w:szCs w:val="30"/>
        </w:rPr>
      </w:pPr>
      <w:r>
        <w:rPr>
          <w:rFonts w:ascii="Times New Roman" w:hAnsi="Times New Roman" w:eastAsia="宋体" w:cs="Times New Roman"/>
          <w:color w:val="auto"/>
          <w:kern w:val="44"/>
          <w:sz w:val="30"/>
          <w:szCs w:val="30"/>
        </w:rPr>
        <w:t>主要环境影响和保护措施</w:t>
      </w:r>
    </w:p>
    <w:tbl>
      <w:tblPr>
        <w:tblStyle w:val="20"/>
        <w:tblW w:w="102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施工期环境保护措施</w:t>
            </w:r>
          </w:p>
        </w:tc>
        <w:tc>
          <w:tcPr>
            <w:tcW w:w="9792" w:type="dxa"/>
            <w:tcBorders>
              <w:tl2br w:val="nil"/>
              <w:tr2bl w:val="nil"/>
            </w:tcBorders>
            <w:vAlign w:val="center"/>
          </w:tcPr>
          <w:p>
            <w:pPr>
              <w:autoSpaceDE w:val="0"/>
              <w:autoSpaceDN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一</w:t>
            </w:r>
            <w:r>
              <w:rPr>
                <w:rFonts w:ascii="Times New Roman" w:hAnsi="Times New Roman" w:eastAsia="宋体" w:cs="Times New Roman"/>
                <w:color w:val="auto"/>
                <w:sz w:val="24"/>
                <w:szCs w:val="24"/>
              </w:rPr>
              <w:t>、废气</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本项目施工期产生的废气主要为物料卸载和堆放粉尘、车辆运输扬尘以及施工活动产生的粉尘。为减少对周围大气环境的影响，环评要求施工单位采取以下措施：</w:t>
            </w:r>
            <w:r>
              <w:rPr>
                <w:rFonts w:hint="eastAsia" w:ascii="Times New Roman" w:hAnsi="Times New Roman" w:eastAsia="宋体" w:cs="宋体"/>
                <w:color w:val="auto"/>
                <w:sz w:val="24"/>
                <w:szCs w:val="24"/>
              </w:rPr>
              <w:t>①</w:t>
            </w:r>
            <w:r>
              <w:rPr>
                <w:rFonts w:ascii="Times New Roman" w:hAnsi="Times New Roman" w:eastAsia="宋体" w:cs="Times New Roman"/>
                <w:color w:val="auto"/>
                <w:sz w:val="24"/>
                <w:szCs w:val="24"/>
              </w:rPr>
              <w:t>施工场地周边100%围挡：施工场地周边设置1.8m高的围挡，围挡底端设置防溢座，围挡之间以及围挡与防溢座之间无缝隙；</w:t>
            </w:r>
            <w:r>
              <w:rPr>
                <w:rFonts w:hint="eastAsia" w:ascii="Times New Roman" w:hAnsi="Times New Roman" w:eastAsia="宋体" w:cs="宋体"/>
                <w:color w:val="auto"/>
                <w:sz w:val="24"/>
                <w:szCs w:val="24"/>
              </w:rPr>
              <w:t>②</w:t>
            </w:r>
            <w:r>
              <w:rPr>
                <w:rFonts w:ascii="Times New Roman" w:hAnsi="Times New Roman" w:eastAsia="宋体" w:cs="Times New Roman"/>
                <w:color w:val="auto"/>
                <w:sz w:val="24"/>
                <w:szCs w:val="24"/>
              </w:rPr>
              <w:t>物料堆放100%覆盖：采用防尘网苫盖建筑材料和建筑垃圾，并配套设置雾炮机，确保喷雾可覆盖整个堆场和装卸点，无盲区；</w:t>
            </w:r>
            <w:r>
              <w:rPr>
                <w:rFonts w:hint="eastAsia" w:ascii="Times New Roman" w:hAnsi="Times New Roman" w:eastAsia="宋体" w:cs="宋体"/>
                <w:color w:val="auto"/>
                <w:sz w:val="24"/>
                <w:szCs w:val="24"/>
              </w:rPr>
              <w:t>③</w:t>
            </w:r>
            <w:r>
              <w:rPr>
                <w:rFonts w:ascii="Times New Roman" w:hAnsi="Times New Roman" w:eastAsia="宋体" w:cs="Times New Roman"/>
                <w:color w:val="auto"/>
                <w:sz w:val="24"/>
                <w:szCs w:val="24"/>
              </w:rPr>
              <w:t>出入车辆100%冲洗：在施工场地进出口处设置一座全自动车辆冲洗平台（有效长度设置为20m以上、有效宽度设置为3.2m以上）对出场运输车辆进行冲洗，运输车辆驶入冲洗平台时，冲洗平台自动感应，利用其两侧及底部的高压水嘴对运输车辆的轮胎及底盘等部位进行全方位清洗，不得带泥上路；</w:t>
            </w:r>
            <w:r>
              <w:rPr>
                <w:rFonts w:hint="eastAsia" w:ascii="Times New Roman" w:hAnsi="Times New Roman" w:eastAsia="宋体" w:cs="宋体"/>
                <w:color w:val="auto"/>
                <w:sz w:val="24"/>
                <w:szCs w:val="24"/>
              </w:rPr>
              <w:t>④</w:t>
            </w:r>
            <w:r>
              <w:rPr>
                <w:rFonts w:ascii="Times New Roman" w:hAnsi="Times New Roman" w:eastAsia="宋体" w:cs="Times New Roman"/>
                <w:color w:val="auto"/>
                <w:sz w:val="24"/>
                <w:szCs w:val="24"/>
              </w:rPr>
              <w:t>施工场地地面100%硬化：对施工场地地面进行硬化处理，并安排专人定期对施工场地及其进出口进行清扫和洒水，保持路面的清洁和相对湿度；</w:t>
            </w:r>
            <w:r>
              <w:rPr>
                <w:rFonts w:hint="eastAsia" w:ascii="Times New Roman" w:hAnsi="Times New Roman" w:eastAsia="宋体" w:cs="宋体"/>
                <w:color w:val="auto"/>
                <w:sz w:val="24"/>
                <w:szCs w:val="24"/>
              </w:rPr>
              <w:t>⑤</w:t>
            </w:r>
            <w:r>
              <w:rPr>
                <w:rFonts w:ascii="Times New Roman" w:hAnsi="Times New Roman" w:eastAsia="宋体" w:cs="Times New Roman"/>
                <w:color w:val="auto"/>
                <w:sz w:val="24"/>
                <w:szCs w:val="24"/>
              </w:rPr>
              <w:t>土方开挖100%湿法作业：土方开挖过程中洒水抑尘，遇到四级及四级以上大风天气停止土方作业，同时在作业处苫盖防尘网；</w:t>
            </w:r>
            <w:r>
              <w:rPr>
                <w:rFonts w:hint="eastAsia" w:ascii="Times New Roman" w:hAnsi="Times New Roman" w:eastAsia="宋体" w:cs="宋体"/>
                <w:color w:val="auto"/>
                <w:sz w:val="24"/>
                <w:szCs w:val="24"/>
              </w:rPr>
              <w:t>⑥</w:t>
            </w:r>
            <w:r>
              <w:rPr>
                <w:rFonts w:ascii="Times New Roman" w:hAnsi="Times New Roman" w:eastAsia="宋体" w:cs="Times New Roman"/>
                <w:color w:val="auto"/>
                <w:sz w:val="24"/>
                <w:szCs w:val="24"/>
              </w:rPr>
              <w:t>渣土车辆100%密闭运输：按照国家核定的载重量，严格控制运输车辆的装载量，物料装载高度不得超过槽帮上沿；尽可能采用密闭车斗运输车辆运输物料，若无密闭车斗，车辆运输过程中加盖篷布，篷布至少要遮住槽帮上沿以下15cm，最大限度地减少物料洒落；严格按照批准的时间和路线运输物料。</w:t>
            </w:r>
          </w:p>
          <w:p>
            <w:pPr>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施工期拟采取的废气污染防治措施可有效减少施工活动对周围大气环境的影响，且符合《防治城市扬尘污染技术规范》（HJ/T393-2007）、《住房和城乡建设部办公厅关于进一步加强施工工地和道路扬尘管控工作的通知》（建办质〔2019〕23</w:t>
            </w:r>
            <w:r>
              <w:rPr>
                <w:rFonts w:ascii="Times New Roman" w:hAnsi="Times New Roman" w:eastAsia="宋体" w:cs="Times New Roman"/>
                <w:color w:val="auto"/>
                <w:kern w:val="0"/>
                <w:sz w:val="24"/>
                <w:szCs w:val="24"/>
                <w:lang w:bidi="ar"/>
              </w:rPr>
              <w:t>号</w:t>
            </w:r>
            <w:r>
              <w:rPr>
                <w:rFonts w:ascii="Times New Roman" w:hAnsi="Times New Roman" w:eastAsia="宋体" w:cs="Times New Roman"/>
                <w:color w:val="auto"/>
                <w:sz w:val="24"/>
                <w:szCs w:val="24"/>
              </w:rPr>
              <w:t>）等文件中相关要求。</w:t>
            </w:r>
          </w:p>
          <w:p>
            <w:pPr>
              <w:autoSpaceDE w:val="0"/>
              <w:autoSpaceDN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二</w:t>
            </w:r>
            <w:r>
              <w:rPr>
                <w:rFonts w:ascii="Times New Roman" w:hAnsi="Times New Roman" w:eastAsia="宋体" w:cs="Times New Roman"/>
                <w:color w:val="auto"/>
                <w:sz w:val="24"/>
                <w:szCs w:val="24"/>
              </w:rPr>
              <w:t>、废水</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施工期废水包括生产废水和生活废水两部分。</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施工期生产废水为施工作业废水，包括地面洒水及设备清洗废水等，量少，可直接泼洒，增湿抑尘。生活污水主要来自施工人员生活洗涤、清洁卫生等过程。项目施工场地设有旱厕，施工人员的洗漱废水量少，亦可以直接泼洒，用于场地增湿抑尘。严禁施工废水排入三川河。</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由上述分析可知，施工期间产生的生产废水及生活污水不会对周围水环境造成负面影响。</w:t>
            </w:r>
          </w:p>
          <w:p>
            <w:pPr>
              <w:autoSpaceDE w:val="0"/>
              <w:autoSpaceDN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三</w:t>
            </w:r>
            <w:r>
              <w:rPr>
                <w:rFonts w:ascii="Times New Roman" w:hAnsi="Times New Roman" w:eastAsia="宋体" w:cs="Times New Roman"/>
                <w:color w:val="auto"/>
                <w:sz w:val="24"/>
                <w:szCs w:val="24"/>
              </w:rPr>
              <w:t>、噪声</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本项目施工期产生的噪声主要来源于推土机、混凝土搅拌机、混凝土振捣器、切割机、焊机和运输车辆等，噪声源源强为80~120dB（A）。本项目施工期拟采取的噪声污染防治措施：</w:t>
            </w:r>
            <w:r>
              <w:rPr>
                <w:rFonts w:hint="eastAsia" w:ascii="Times New Roman" w:hAnsi="Times New Roman" w:eastAsia="宋体" w:cs="宋体"/>
                <w:color w:val="auto"/>
                <w:sz w:val="24"/>
                <w:szCs w:val="24"/>
              </w:rPr>
              <w:t>①</w:t>
            </w:r>
            <w:r>
              <w:rPr>
                <w:rFonts w:ascii="Times New Roman" w:hAnsi="Times New Roman" w:eastAsia="宋体" w:cs="Times New Roman"/>
                <w:color w:val="auto"/>
                <w:sz w:val="24"/>
                <w:szCs w:val="24"/>
              </w:rPr>
              <w:t>合理安排施工时间：制定施工计划时，应尽可能避免高噪声设备同时施工；高噪声的作业应尽量安排在白天进行，减少夜间施工量，避免对周围村庄居民生活产生不良影响；</w:t>
            </w:r>
            <w:r>
              <w:rPr>
                <w:rFonts w:hint="eastAsia" w:ascii="Times New Roman" w:hAnsi="Times New Roman" w:eastAsia="宋体" w:cs="宋体"/>
                <w:color w:val="auto"/>
                <w:sz w:val="24"/>
                <w:szCs w:val="24"/>
              </w:rPr>
              <w:t>②</w:t>
            </w:r>
            <w:r>
              <w:rPr>
                <w:rFonts w:ascii="Times New Roman" w:hAnsi="Times New Roman" w:eastAsia="宋体" w:cs="Times New Roman"/>
                <w:color w:val="auto"/>
                <w:sz w:val="24"/>
                <w:szCs w:val="24"/>
              </w:rPr>
              <w:t>合理布局施工场地：避免同一地点安排大量动力机械设备，以免局部声级过高；</w:t>
            </w:r>
            <w:r>
              <w:rPr>
                <w:rFonts w:hint="eastAsia" w:ascii="Times New Roman" w:hAnsi="Times New Roman" w:eastAsia="宋体" w:cs="宋体"/>
                <w:color w:val="auto"/>
                <w:sz w:val="24"/>
                <w:szCs w:val="24"/>
              </w:rPr>
              <w:t>③</w:t>
            </w:r>
            <w:r>
              <w:rPr>
                <w:rFonts w:ascii="Times New Roman" w:hAnsi="Times New Roman" w:eastAsia="宋体" w:cs="Times New Roman"/>
                <w:color w:val="auto"/>
                <w:sz w:val="24"/>
                <w:szCs w:val="24"/>
              </w:rPr>
              <w:t>降低设备噪声级：设备选型上尽量采用低噪声设备，对动力机械设备要定期进行维护和保养，使其一直保持良好的状态，减轻因设备运行状态不佳而造成的噪声污染；闲置不用的设备应立即关闭；</w:t>
            </w:r>
            <w:r>
              <w:rPr>
                <w:rFonts w:hint="eastAsia" w:ascii="Times New Roman" w:hAnsi="Times New Roman" w:eastAsia="宋体" w:cs="宋体"/>
                <w:color w:val="auto"/>
                <w:sz w:val="24"/>
                <w:szCs w:val="24"/>
              </w:rPr>
              <w:t>④</w:t>
            </w:r>
            <w:r>
              <w:rPr>
                <w:rFonts w:ascii="Times New Roman" w:hAnsi="Times New Roman" w:eastAsia="宋体" w:cs="Times New Roman"/>
                <w:color w:val="auto"/>
                <w:sz w:val="24"/>
                <w:szCs w:val="24"/>
              </w:rPr>
              <w:t>运输要采用车况良好的车辆，并应注意定期维修和养护；在经过居民区路段要限制鸣笛；一般情况应禁止夜间运输。</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施工单位严格执行环评提出的各项噪声污染防治措施后，对周边声环境影响较小。</w:t>
            </w:r>
          </w:p>
          <w:p>
            <w:pPr>
              <w:autoSpaceDE w:val="0"/>
              <w:autoSpaceDN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四</w:t>
            </w:r>
            <w:r>
              <w:rPr>
                <w:rFonts w:ascii="Times New Roman" w:hAnsi="Times New Roman" w:eastAsia="宋体" w:cs="Times New Roman"/>
                <w:color w:val="auto"/>
                <w:sz w:val="24"/>
                <w:szCs w:val="24"/>
              </w:rPr>
              <w:t>、固废</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（1）施工作业固体废物</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施工期生产固废包括运输道路、厂房及其辅助工程施工作业过程中产生的建筑垃圾。建筑废弃物在工程施工开工前应签订环保责任书，由各施工单位负责施工期固体废弃物的处理，将建筑垃圾运至指定地点。各施工单位要加强施工管理，对施工产生的建筑垃圾不能随意抛弃。</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（2）生活固废</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施工期生活垃圾按施工高峰期人数约20人，施工人员人均生活垃圾产生量按1kg/人·d计算，则施工高峰期日生活垃圾产生量为0.02t/d，这部分生活垃圾应配置垃圾桶，定期外运至当地环卫部门指定地点统一处置。</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施工期项目的固体废弃物排放是暂时的，随着施工的结束而减小，通过积极有效的施工管理，施工期固体废弃物对环境造成的影响不大。</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五</w:t>
            </w:r>
            <w:r>
              <w:rPr>
                <w:rFonts w:ascii="Times New Roman" w:hAnsi="Times New Roman" w:eastAsia="宋体" w:cs="Times New Roman"/>
                <w:color w:val="auto"/>
                <w:sz w:val="24"/>
                <w:szCs w:val="24"/>
              </w:rPr>
              <w:t>、振动</w:t>
            </w:r>
          </w:p>
          <w:p>
            <w:pPr>
              <w:adjustRightInd w:val="0"/>
              <w:snapToGrid w:val="0"/>
              <w:spacing w:line="480" w:lineRule="exact"/>
              <w:ind w:firstLine="480" w:firstLineChars="200"/>
              <w:rPr>
                <w:rFonts w:ascii="Times New Roman" w:hAnsi="Times New Roman" w:eastAsia="宋体" w:cs="Times New Roman"/>
                <w:color w:val="auto"/>
                <w:kern w:val="0"/>
                <w:sz w:val="24"/>
                <w:szCs w:val="24"/>
              </w:rPr>
            </w:pPr>
            <w:r>
              <w:rPr>
                <w:rFonts w:ascii="Times New Roman" w:hAnsi="Times New Roman" w:eastAsia="宋体" w:cs="Times New Roman"/>
                <w:color w:val="auto"/>
                <w:sz w:val="24"/>
                <w:szCs w:val="24"/>
              </w:rPr>
              <w:t>施工单位严格按照《环境噪声与振动控制工程技术导则》（HJ2034-2013）中相关减振要求施工，避免振动对周围环境造成负面影响：</w:t>
            </w:r>
            <w:r>
              <w:rPr>
                <w:rFonts w:hint="eastAsia" w:ascii="Times New Roman" w:hAnsi="Times New Roman" w:eastAsia="宋体" w:cs="宋体"/>
                <w:color w:val="auto"/>
                <w:sz w:val="24"/>
                <w:szCs w:val="24"/>
              </w:rPr>
              <w:t>①</w:t>
            </w:r>
            <w:r>
              <w:rPr>
                <w:rFonts w:ascii="Times New Roman" w:hAnsi="Times New Roman" w:eastAsia="宋体" w:cs="Times New Roman"/>
                <w:color w:val="auto"/>
                <w:sz w:val="24"/>
                <w:szCs w:val="24"/>
              </w:rPr>
              <w:t>隔振元件（包括隔振垫层和隔振器）：根据所需隔振系统的固有频率选择合适的隔振元件，隔振元件品种及规格宜根据有关产品的技术性能参数选择确定；</w:t>
            </w:r>
            <w:r>
              <w:rPr>
                <w:rFonts w:hint="eastAsia" w:ascii="Times New Roman" w:hAnsi="Times New Roman" w:eastAsia="宋体" w:cs="宋体"/>
                <w:color w:val="auto"/>
                <w:sz w:val="24"/>
                <w:szCs w:val="24"/>
              </w:rPr>
              <w:t>②</w:t>
            </w:r>
            <w:r>
              <w:rPr>
                <w:rFonts w:ascii="Times New Roman" w:hAnsi="Times New Roman" w:eastAsia="宋体" w:cs="Times New Roman"/>
                <w:color w:val="auto"/>
                <w:sz w:val="24"/>
                <w:szCs w:val="24"/>
              </w:rPr>
              <w:t>隔振机座：隔振机座应设置在机器设备与隔振元件之间，由型钢或混凝土块构成；自重较轻的隔振机座可采用型钢框架；刚性好、隔振系统重心低、系统的固有频率低且隔振量大的隔振机座宜采用混凝土或钢混复合结构。隔振机座重量不宜小于机器自重，对于旋转式机器，隔振机座重量宜为机器自重的1.5倍~2倍；对于往复式机器，隔振机座重量宜为机器自重的3倍~5倍；对于冲击类机器，隔振机座重量应由传至隔振机座的动力和机器的允许振幅来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color w:val="auto"/>
                <w:sz w:val="24"/>
                <w:szCs w:val="24"/>
                <w:highlight w:val="green"/>
              </w:rPr>
            </w:pPr>
            <w:r>
              <w:rPr>
                <w:rFonts w:ascii="Times New Roman" w:hAnsi="Times New Roman" w:eastAsia="宋体" w:cs="Times New Roman"/>
                <w:color w:val="auto"/>
                <w:sz w:val="24"/>
                <w:szCs w:val="24"/>
              </w:rPr>
              <w:t>运营期环境影响和保护措施</w:t>
            </w:r>
          </w:p>
        </w:tc>
        <w:tc>
          <w:tcPr>
            <w:tcW w:w="9792" w:type="dxa"/>
            <w:tcBorders>
              <w:tl2br w:val="nil"/>
              <w:tr2bl w:val="nil"/>
            </w:tcBorders>
            <w:vAlign w:val="center"/>
          </w:tcPr>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本次评价根据《污染源源强核算技术指南准则》（HJ884-2018）、《排污单位自行监测技术指南总则》（HJ819-2017）中相关要求核算污染源源强、提出污染防治措施和制定环境监测计划等。</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一、废气环境影响及保护措施分析</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本项目废气主要包括</w:t>
            </w:r>
            <w:r>
              <w:rPr>
                <w:rFonts w:hint="eastAsia" w:ascii="Times New Roman" w:hAnsi="Times New Roman" w:eastAsia="宋体" w:cs="Times New Roman"/>
                <w:color w:val="auto"/>
                <w:sz w:val="24"/>
                <w:szCs w:val="24"/>
                <w:lang w:val="en-US" w:eastAsia="zh-CN"/>
              </w:rPr>
              <w:t>切割粉尘</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焊接烟尘</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喷砂、喷漆和烘干</w:t>
            </w:r>
            <w:r>
              <w:rPr>
                <w:rFonts w:hint="default" w:ascii="Times New Roman" w:hAnsi="Times New Roman" w:eastAsia="宋体" w:cs="Times New Roman"/>
                <w:color w:val="auto"/>
                <w:sz w:val="24"/>
                <w:szCs w:val="24"/>
              </w:rPr>
              <w:t>过程产生的废气。</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1、源强分析：</w:t>
            </w:r>
          </w:p>
          <w:p>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切割粉尘</w:t>
            </w:r>
          </w:p>
          <w:p>
            <w:pPr>
              <w:spacing w:line="360" w:lineRule="auto"/>
              <w:ind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本项目根据</w:t>
            </w:r>
            <w:r>
              <w:rPr>
                <w:rFonts w:hint="eastAsia" w:ascii="Times New Roman" w:hAnsi="Times New Roman" w:eastAsia="宋体" w:cs="Times New Roman"/>
                <w:color w:val="auto"/>
                <w:sz w:val="24"/>
                <w:szCs w:val="24"/>
                <w:lang w:val="en-US" w:eastAsia="zh-CN"/>
              </w:rPr>
              <w:t>维修得需要在对设备进行小范围的</w:t>
            </w:r>
            <w:r>
              <w:rPr>
                <w:rFonts w:hint="default" w:ascii="Times New Roman" w:hAnsi="Times New Roman" w:eastAsia="宋体" w:cs="Times New Roman"/>
                <w:color w:val="auto"/>
                <w:sz w:val="24"/>
                <w:szCs w:val="24"/>
              </w:rPr>
              <w:t>切割处理，切割过程中会产生一定量粉尘；主要污染物为颗粒物，产生的粉尘比重大，容易沉降。类比同类型企业，切割粉尘为原料用量的0.1%。本项目</w:t>
            </w:r>
            <w:r>
              <w:rPr>
                <w:rFonts w:hint="eastAsia" w:ascii="Times New Roman" w:hAnsi="Times New Roman" w:eastAsia="宋体" w:cs="Times New Roman"/>
                <w:color w:val="auto"/>
                <w:sz w:val="24"/>
                <w:szCs w:val="24"/>
                <w:lang w:val="en-US" w:eastAsia="zh-CN"/>
              </w:rPr>
              <w:t>切割涉及钢材量为3</w:t>
            </w:r>
            <w:r>
              <w:rPr>
                <w:rFonts w:hint="default" w:ascii="Times New Roman" w:hAnsi="Times New Roman" w:eastAsia="宋体" w:cs="Times New Roman"/>
                <w:color w:val="auto"/>
                <w:sz w:val="24"/>
                <w:szCs w:val="24"/>
              </w:rPr>
              <w:t>0t/a，则粉尘的产生量约为</w:t>
            </w:r>
            <w:r>
              <w:rPr>
                <w:rFonts w:hint="eastAsia" w:ascii="Times New Roman" w:hAnsi="Times New Roman" w:eastAsia="宋体" w:cs="Times New Roman"/>
                <w:color w:val="auto"/>
                <w:sz w:val="24"/>
                <w:szCs w:val="24"/>
                <w:lang w:val="en-US" w:eastAsia="zh-CN"/>
              </w:rPr>
              <w:t>0.03</w:t>
            </w:r>
            <w:r>
              <w:rPr>
                <w:rFonts w:hint="default" w:ascii="Times New Roman" w:hAnsi="Times New Roman" w:eastAsia="宋体" w:cs="Times New Roman"/>
                <w:color w:val="auto"/>
                <w:sz w:val="24"/>
                <w:szCs w:val="24"/>
              </w:rPr>
              <w:t>t/a</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本项目全年切割时长累计27h</w:t>
            </w:r>
            <w:r>
              <w:rPr>
                <w:rFonts w:hint="eastAsia" w:ascii="Times New Roman" w:hAnsi="Times New Roman" w:eastAsia="宋体" w:cs="Times New Roman"/>
                <w:color w:val="auto"/>
                <w:sz w:val="24"/>
                <w:szCs w:val="24"/>
                <w:lang w:eastAsia="zh-CN"/>
              </w:rPr>
              <w:t>。</w:t>
            </w:r>
          </w:p>
          <w:p>
            <w:pPr>
              <w:keepNext w:val="0"/>
              <w:keepLines w:val="0"/>
              <w:pageBreakBefore w:val="0"/>
              <w:widowControl w:val="0"/>
              <w:tabs>
                <w:tab w:val="left" w:pos="1860"/>
                <w:tab w:val="center" w:pos="462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环评要求</w:t>
            </w:r>
            <w:r>
              <w:rPr>
                <w:rFonts w:hint="eastAsia" w:ascii="Times New Roman" w:hAnsi="Times New Roman" w:eastAsia="宋体" w:cs="Times New Roman"/>
                <w:color w:val="auto"/>
                <w:sz w:val="24"/>
                <w:szCs w:val="24"/>
                <w:lang w:val="en-US" w:eastAsia="zh-CN"/>
              </w:rPr>
              <w:t>设置一个切割工位，切割工位上方设置1个集气罩，收集效率90%，集气罩面积为0.8</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，罩口风速为0.6</w:t>
            </w:r>
            <w:r>
              <w:rPr>
                <w:rFonts w:hint="default" w:ascii="Times New Roman" w:hAnsi="Times New Roman" w:eastAsia="宋体" w:cs="Times New Roman"/>
                <w:color w:val="auto"/>
                <w:sz w:val="24"/>
                <w:szCs w:val="24"/>
                <w:lang w:val="en-US" w:eastAsia="zh-CN"/>
              </w:rPr>
              <w:t>m/s</w:t>
            </w:r>
            <w:r>
              <w:rPr>
                <w:rFonts w:hint="eastAsia" w:ascii="Times New Roman" w:hAnsi="Times New Roman" w:eastAsia="宋体" w:cs="Times New Roman"/>
                <w:color w:val="auto"/>
                <w:sz w:val="24"/>
                <w:szCs w:val="24"/>
                <w:lang w:val="en-US" w:eastAsia="zh-CN"/>
              </w:rPr>
              <w:t>，核算风量为1728</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，收集的废气进入布袋除尘器，配套引风机风量为</w:t>
            </w:r>
            <w:r>
              <w:rPr>
                <w:rFonts w:hint="default" w:ascii="Times New Roman" w:hAnsi="Times New Roman" w:eastAsia="宋体" w:cs="Times New Roman"/>
                <w:color w:val="auto"/>
                <w:sz w:val="24"/>
                <w:szCs w:val="24"/>
                <w:lang w:val="en-US" w:eastAsia="zh-CN"/>
              </w:rPr>
              <w:t>2000m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（过滤面积55.55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，过滤风速</w:t>
            </w:r>
            <w:r>
              <w:rPr>
                <w:rFonts w:hint="default"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m/min</w:t>
            </w:r>
            <w:r>
              <w:rPr>
                <w:rFonts w:hint="eastAsia" w:ascii="Times New Roman" w:hAnsi="Times New Roman" w:eastAsia="宋体" w:cs="Times New Roman"/>
                <w:color w:val="auto"/>
                <w:sz w:val="24"/>
                <w:szCs w:val="24"/>
                <w:lang w:val="en-US" w:eastAsia="zh-CN"/>
              </w:rPr>
              <w:t>，滤袋材质为涤纶针刺毡），处理后由一根</w:t>
            </w:r>
            <w:r>
              <w:rPr>
                <w:rFonts w:hint="default" w:ascii="Times New Roman" w:hAnsi="Times New Roman" w:eastAsia="宋体" w:cs="Times New Roman"/>
                <w:color w:val="auto"/>
                <w:sz w:val="24"/>
                <w:szCs w:val="24"/>
                <w:lang w:val="en-US" w:eastAsia="zh-CN"/>
              </w:rPr>
              <w:t>15m</w:t>
            </w:r>
            <w:r>
              <w:rPr>
                <w:rFonts w:hint="eastAsia" w:ascii="Times New Roman" w:hAnsi="Times New Roman" w:eastAsia="宋体" w:cs="Times New Roman"/>
                <w:color w:val="auto"/>
                <w:sz w:val="24"/>
                <w:szCs w:val="24"/>
                <w:lang w:val="en-US" w:eastAsia="zh-CN"/>
              </w:rPr>
              <w:t>高排气筒排放，处理后的粉尘浓度为5</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，排放量为5</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2000m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lang w:val="en-US" w:eastAsia="zh-CN"/>
              </w:rPr>
              <w:t>h/a</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-9</w:t>
            </w:r>
            <w:r>
              <w:rPr>
                <w:rFonts w:hint="default"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lang w:val="en-US" w:eastAsia="zh-CN"/>
              </w:rPr>
              <w:t>00027</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snapToGrid w:val="0"/>
                <w:color w:val="auto"/>
                <w:kern w:val="0"/>
                <w:sz w:val="24"/>
                <w:szCs w:val="24"/>
              </w:rPr>
            </w:pPr>
            <w:r>
              <w:rPr>
                <w:rFonts w:hint="eastAsia" w:ascii="Times New Roman" w:hAnsi="Times New Roman" w:eastAsia="宋体" w:cs="Times New Roman"/>
                <w:color w:val="auto"/>
                <w:sz w:val="24"/>
                <w:szCs w:val="24"/>
                <w:lang w:val="en-US" w:eastAsia="zh-CN"/>
              </w:rPr>
              <w:t>切割粉尘</w:t>
            </w:r>
            <w:r>
              <w:rPr>
                <w:rFonts w:hint="default" w:ascii="Times New Roman" w:hAnsi="Times New Roman" w:eastAsia="宋体" w:cs="Times New Roman"/>
                <w:bCs/>
                <w:snapToGrid w:val="0"/>
                <w:color w:val="auto"/>
                <w:kern w:val="0"/>
                <w:sz w:val="24"/>
                <w:szCs w:val="24"/>
              </w:rPr>
              <w:t>未收集的无组织排放量为</w:t>
            </w:r>
            <w:r>
              <w:rPr>
                <w:rFonts w:hint="default" w:ascii="Times New Roman" w:hAnsi="Times New Roman" w:eastAsia="宋体" w:cs="Times New Roman"/>
                <w:bCs/>
                <w:snapToGrid w:val="0"/>
                <w:color w:val="auto"/>
                <w:kern w:val="0"/>
                <w:sz w:val="24"/>
                <w:szCs w:val="24"/>
                <w:lang w:eastAsia="zh-CN"/>
              </w:rPr>
              <w:t>：</w:t>
            </w:r>
            <w:r>
              <w:rPr>
                <w:rFonts w:hint="eastAsia" w:ascii="Times New Roman" w:hAnsi="Times New Roman" w:eastAsia="宋体" w:cs="Times New Roman"/>
                <w:bCs/>
                <w:snapToGrid w:val="0"/>
                <w:color w:val="auto"/>
                <w:kern w:val="0"/>
                <w:sz w:val="24"/>
                <w:szCs w:val="24"/>
                <w:lang w:val="en-US" w:eastAsia="zh-CN"/>
              </w:rPr>
              <w:t>0.03</w:t>
            </w:r>
            <w:r>
              <w:rPr>
                <w:rFonts w:hint="default" w:ascii="Times New Roman" w:hAnsi="Times New Roman" w:eastAsia="宋体" w:cs="Times New Roman"/>
                <w:bCs/>
                <w:snapToGrid w:val="0"/>
                <w:color w:val="auto"/>
                <w:kern w:val="0"/>
                <w:sz w:val="24"/>
                <w:szCs w:val="24"/>
                <w:lang w:val="en-US" w:eastAsia="zh-CN"/>
              </w:rPr>
              <w:t>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1-9</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eastAsia" w:ascii="Times New Roman" w:hAnsi="Times New Roman" w:eastAsia="宋体" w:cs="Times New Roman"/>
                <w:bCs/>
                <w:snapToGrid w:val="0"/>
                <w:color w:val="auto"/>
                <w:kern w:val="0"/>
                <w:sz w:val="24"/>
                <w:szCs w:val="24"/>
                <w:lang w:val="en-US" w:eastAsia="zh-CN"/>
              </w:rPr>
              <w:t>0.003</w:t>
            </w:r>
            <w:r>
              <w:rPr>
                <w:rFonts w:hint="default" w:ascii="Times New Roman" w:hAnsi="Times New Roman" w:eastAsia="宋体" w:cs="Times New Roman"/>
                <w:bCs/>
                <w:snapToGrid w:val="0"/>
                <w:color w:val="auto"/>
                <w:kern w:val="0"/>
                <w:sz w:val="24"/>
                <w:szCs w:val="24"/>
                <w:lang w:val="en-US" w:eastAsia="zh-CN"/>
              </w:rPr>
              <w:t>t</w:t>
            </w:r>
            <w:r>
              <w:rPr>
                <w:rFonts w:hint="default" w:ascii="Times New Roman" w:hAnsi="Times New Roman" w:eastAsia="宋体" w:cs="Times New Roman"/>
                <w:bCs/>
                <w:snapToGrid w:val="0"/>
                <w:color w:val="auto"/>
                <w:kern w:val="0"/>
                <w:sz w:val="24"/>
                <w:szCs w:val="24"/>
              </w:rPr>
              <w:t>/a。</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切割粉尘排放符合《大气污染物综合排放标准》（GB16297-1996）中表2二级标准限值要求。</w:t>
            </w:r>
          </w:p>
          <w:p>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焊接烟尘</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焊接作业会产生光污染及焊接烟尘等，焊接烟尘是由金属及非金属物质在过热条件下产生的蒸气经氧化和冷凝而形成的，常见的主要化学组成为Fe</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、SiO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、MnO等。主要特点为：焊接烟尘粒子小，烟尘呈碎片状，粒径为1µm左右；焊接烟尘粘性大等。</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本项目采用CO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气体保护焊的焊接方式，根据同类项目类比分析，气焊作业时产生的有害气体为焊接过程产生的烟尘。根据《环境保护实用技术手册》中的数据，电焊的发尘量见下表。</w:t>
            </w:r>
          </w:p>
          <w:p>
            <w:pPr>
              <w:spacing w:before="0" w:after="4"/>
              <w:ind w:right="0"/>
              <w:jc w:val="center"/>
              <w:rPr>
                <w:rFonts w:ascii="Times New Roman" w:hAnsi="Times New Roman" w:eastAsia="宋体"/>
                <w:b/>
                <w:color w:val="auto"/>
                <w:sz w:val="21"/>
              </w:rPr>
            </w:pPr>
            <w:r>
              <w:rPr>
                <w:rFonts w:ascii="Times New Roman" w:hAnsi="Times New Roman" w:eastAsia="宋体"/>
                <w:b/>
                <w:color w:val="auto"/>
                <w:sz w:val="21"/>
              </w:rPr>
              <w:t>表</w:t>
            </w:r>
            <w:r>
              <w:rPr>
                <w:rFonts w:hint="eastAsia" w:ascii="Times New Roman" w:hAnsi="Times New Roman" w:eastAsia="宋体"/>
                <w:b/>
                <w:color w:val="auto"/>
                <w:sz w:val="21"/>
                <w:lang w:val="en-US" w:eastAsia="zh-CN"/>
              </w:rPr>
              <w:t>17</w:t>
            </w:r>
            <w:r>
              <w:rPr>
                <w:rFonts w:ascii="Times New Roman" w:hAnsi="Times New Roman" w:eastAsia="宋体"/>
                <w:b/>
                <w:color w:val="auto"/>
                <w:sz w:val="21"/>
              </w:rPr>
              <w:t>焊接（切割）方法的发尘量</w:t>
            </w:r>
          </w:p>
          <w:tbl>
            <w:tblPr>
              <w:tblStyle w:val="2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83"/>
              <w:gridCol w:w="2476"/>
              <w:gridCol w:w="2646"/>
              <w:gridCol w:w="28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26"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焊接方法</w:t>
                  </w:r>
                </w:p>
              </w:tc>
              <w:tc>
                <w:tcPr>
                  <w:tcW w:w="1292"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焊接材料</w:t>
                  </w:r>
                </w:p>
              </w:tc>
              <w:tc>
                <w:tcPr>
                  <w:tcW w:w="1381"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施焊时发尘量(mg/min)</w:t>
                  </w:r>
                </w:p>
              </w:tc>
              <w:tc>
                <w:tcPr>
                  <w:tcW w:w="1498"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焊接材料的发尘量(g/kg)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26" w:type="pct"/>
                  <w:vMerge w:val="restar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CO</w:t>
                  </w:r>
                  <w:r>
                    <w:rPr>
                      <w:rFonts w:hint="eastAsia" w:ascii="Times New Roman" w:hAnsi="Times New Roman" w:eastAsia="宋体" w:cs="Times New Roman"/>
                      <w:color w:val="auto"/>
                      <w:sz w:val="18"/>
                      <w:szCs w:val="18"/>
                      <w:vertAlign w:val="subscript"/>
                      <w:lang w:eastAsia="zh-CN"/>
                    </w:rPr>
                    <w:t>2</w:t>
                  </w:r>
                  <w:r>
                    <w:rPr>
                      <w:rFonts w:hint="eastAsia" w:ascii="Times New Roman" w:hAnsi="Times New Roman" w:eastAsia="宋体" w:cs="Times New Roman"/>
                      <w:color w:val="auto"/>
                      <w:sz w:val="18"/>
                      <w:szCs w:val="18"/>
                      <w:lang w:eastAsia="zh-CN"/>
                    </w:rPr>
                    <w:t>气体保护焊</w:t>
                  </w:r>
                </w:p>
              </w:tc>
              <w:tc>
                <w:tcPr>
                  <w:tcW w:w="1292"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实芯焊丝(直径1.6mm)</w:t>
                  </w:r>
                </w:p>
              </w:tc>
              <w:tc>
                <w:tcPr>
                  <w:tcW w:w="1381"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450～650</w:t>
                  </w:r>
                </w:p>
              </w:tc>
              <w:tc>
                <w:tcPr>
                  <w:tcW w:w="1498"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2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p>
              </w:tc>
              <w:tc>
                <w:tcPr>
                  <w:tcW w:w="1292"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药芯焊丝(直径1.6mm)</w:t>
                  </w:r>
                </w:p>
              </w:tc>
              <w:tc>
                <w:tcPr>
                  <w:tcW w:w="1381"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700～900</w:t>
                  </w:r>
                </w:p>
              </w:tc>
              <w:tc>
                <w:tcPr>
                  <w:tcW w:w="1498" w:type="pct"/>
                  <w:tcBorders>
                    <w:tl2br w:val="nil"/>
                    <w:tr2bl w:val="nil"/>
                  </w:tcBorders>
                  <w:noWrap w:val="0"/>
                  <w:vAlign w:val="center"/>
                </w:tcPr>
                <w:p>
                  <w:pPr>
                    <w:pStyle w:val="58"/>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7～10</w:t>
                  </w:r>
                </w:p>
              </w:tc>
            </w:tr>
          </w:tbl>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本项目CO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保护焊采用气保焊丝，气保焊焊接时产生烟尘。气保焊单位焊材烟尘产生量为5-8g/kg。本项目气保焊焊丝用量为</w:t>
            </w:r>
            <w:r>
              <w:rPr>
                <w:rFonts w:hint="eastAsia" w:ascii="Times New Roman" w:hAnsi="Times New Roman" w:eastAsia="宋体" w:cs="Times New Roman"/>
                <w:color w:val="auto"/>
                <w:sz w:val="24"/>
                <w:szCs w:val="24"/>
                <w:lang w:val="en-US" w:eastAsia="zh-CN"/>
              </w:rPr>
              <w:t>0.4</w:t>
            </w:r>
            <w:r>
              <w:rPr>
                <w:rFonts w:hint="default" w:ascii="Times New Roman" w:hAnsi="Times New Roman" w:eastAsia="宋体" w:cs="Times New Roman"/>
                <w:color w:val="auto"/>
                <w:sz w:val="24"/>
                <w:szCs w:val="24"/>
              </w:rPr>
              <w:t>t/a，产污系数按</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g/kg焊材计，则气保焊焊接烟尘产生量为</w:t>
            </w:r>
            <w:r>
              <w:rPr>
                <w:rFonts w:hint="eastAsia" w:ascii="Times New Roman" w:hAnsi="Times New Roman" w:eastAsia="宋体" w:cs="Times New Roman"/>
                <w:color w:val="auto"/>
                <w:sz w:val="24"/>
                <w:szCs w:val="24"/>
                <w:lang w:val="en-US" w:eastAsia="zh-CN"/>
              </w:rPr>
              <w:t>0.0032</w:t>
            </w:r>
            <w:r>
              <w:rPr>
                <w:rFonts w:hint="default" w:ascii="Times New Roman" w:hAnsi="Times New Roman" w:eastAsia="宋体" w:cs="Times New Roman"/>
                <w:color w:val="auto"/>
                <w:sz w:val="24"/>
                <w:szCs w:val="24"/>
              </w:rPr>
              <w:t>t/a。</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环评要求</w:t>
            </w:r>
            <w:r>
              <w:rPr>
                <w:rFonts w:hint="eastAsia" w:ascii="Times New Roman" w:hAnsi="Times New Roman" w:eastAsia="宋体" w:cs="Times New Roman"/>
                <w:color w:val="auto"/>
                <w:sz w:val="24"/>
                <w:szCs w:val="24"/>
                <w:lang w:val="en-US" w:eastAsia="zh-CN"/>
              </w:rPr>
              <w:t>每个焊接工位上方安装集气罩，</w:t>
            </w:r>
            <w:r>
              <w:rPr>
                <w:rFonts w:hint="default" w:ascii="Times New Roman" w:hAnsi="Times New Roman" w:eastAsia="宋体" w:cs="Times New Roman"/>
                <w:color w:val="auto"/>
                <w:sz w:val="24"/>
                <w:szCs w:val="24"/>
              </w:rPr>
              <w:t>集尘</w:t>
            </w:r>
            <w:r>
              <w:rPr>
                <w:rFonts w:hint="eastAsia" w:ascii="Times New Roman" w:hAnsi="Times New Roman" w:eastAsia="宋体" w:cs="Times New Roman"/>
                <w:color w:val="auto"/>
                <w:sz w:val="24"/>
                <w:szCs w:val="24"/>
                <w:lang w:val="en-US" w:eastAsia="zh-CN"/>
              </w:rPr>
              <w:t>罩</w:t>
            </w:r>
            <w:r>
              <w:rPr>
                <w:rFonts w:hint="default" w:ascii="Times New Roman" w:hAnsi="Times New Roman" w:eastAsia="宋体" w:cs="Times New Roman"/>
                <w:color w:val="auto"/>
                <w:sz w:val="24"/>
                <w:szCs w:val="24"/>
              </w:rPr>
              <w:t>集尘效率为9</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集气罩面积为</w:t>
            </w:r>
            <w:r>
              <w:rPr>
                <w:rFonts w:hint="default"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，罩口风速为</w:t>
            </w:r>
            <w:r>
              <w:rPr>
                <w:rFonts w:hint="default"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m/s</w:t>
            </w:r>
            <w:r>
              <w:rPr>
                <w:rFonts w:hint="eastAsia" w:ascii="Times New Roman" w:hAnsi="Times New Roman" w:eastAsia="宋体" w:cs="Times New Roman"/>
                <w:color w:val="auto"/>
                <w:sz w:val="24"/>
                <w:szCs w:val="24"/>
                <w:lang w:val="en-US" w:eastAsia="zh-CN"/>
              </w:rPr>
              <w:t>，核算风量为1080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，考虑到风量损耗，风机的风量为120</w:t>
            </w:r>
            <w:r>
              <w:rPr>
                <w:rFonts w:hint="default" w:ascii="Times New Roman" w:hAnsi="Times New Roman" w:eastAsia="宋体" w:cs="Times New Roman"/>
                <w:color w:val="auto"/>
                <w:sz w:val="24"/>
                <w:szCs w:val="24"/>
                <w:lang w:val="en-US" w:eastAsia="zh-CN"/>
              </w:rPr>
              <w:t>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，收集后的烟尘进入一套布袋除尘器进行处理（除尘器过滤面积33.33</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，过滤风速</w:t>
            </w:r>
            <w:r>
              <w:rPr>
                <w:rFonts w:hint="default"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m/min</w:t>
            </w:r>
            <w:r>
              <w:rPr>
                <w:rFonts w:hint="eastAsia" w:ascii="Times New Roman" w:hAnsi="Times New Roman" w:eastAsia="宋体" w:cs="Times New Roman"/>
                <w:color w:val="auto"/>
                <w:sz w:val="24"/>
                <w:szCs w:val="24"/>
                <w:lang w:val="en-US" w:eastAsia="zh-CN"/>
              </w:rPr>
              <w:t>），处理后</w:t>
            </w:r>
            <w:r>
              <w:rPr>
                <w:rFonts w:hint="default" w:ascii="Times New Roman" w:hAnsi="Times New Roman" w:eastAsia="宋体" w:cs="Times New Roman"/>
                <w:color w:val="auto"/>
                <w:sz w:val="24"/>
                <w:szCs w:val="24"/>
              </w:rPr>
              <w:t>经</w:t>
            </w:r>
            <w:r>
              <w:rPr>
                <w:rFonts w:hint="eastAsia" w:ascii="Times New Roman" w:hAnsi="Times New Roman" w:eastAsia="宋体" w:cs="Times New Roman"/>
                <w:color w:val="auto"/>
                <w:sz w:val="24"/>
                <w:szCs w:val="24"/>
                <w:lang w:val="en-US" w:eastAsia="zh-CN"/>
              </w:rPr>
              <w:t>一根</w:t>
            </w:r>
            <w:r>
              <w:rPr>
                <w:rFonts w:hint="default" w:ascii="Times New Roman" w:hAnsi="Times New Roman" w:eastAsia="宋体" w:cs="Times New Roman"/>
                <w:color w:val="auto"/>
                <w:sz w:val="24"/>
                <w:szCs w:val="24"/>
              </w:rPr>
              <w:t>15m</w:t>
            </w:r>
            <w:r>
              <w:rPr>
                <w:rFonts w:hint="eastAsia" w:ascii="Times New Roman" w:hAnsi="Times New Roman" w:eastAsia="宋体" w:cs="Times New Roman"/>
                <w:color w:val="auto"/>
                <w:sz w:val="24"/>
                <w:szCs w:val="24"/>
                <w:lang w:val="en-US" w:eastAsia="zh-CN"/>
              </w:rPr>
              <w:t>排气筒</w:t>
            </w:r>
            <w:r>
              <w:rPr>
                <w:rFonts w:hint="default" w:ascii="Times New Roman" w:hAnsi="Times New Roman" w:eastAsia="宋体" w:cs="Times New Roman"/>
                <w:color w:val="auto"/>
                <w:sz w:val="24"/>
                <w:szCs w:val="24"/>
              </w:rPr>
              <w:t>排放</w:t>
            </w:r>
            <w:r>
              <w:rPr>
                <w:rFonts w:hint="eastAsia" w:ascii="Times New Roman" w:hAnsi="Times New Roman" w:eastAsia="宋体" w:cs="Times New Roman"/>
                <w:color w:val="auto"/>
                <w:sz w:val="24"/>
                <w:szCs w:val="24"/>
                <w:lang w:val="en-US" w:eastAsia="zh-CN"/>
              </w:rPr>
              <w:t>。处理后的粉尘浓度为8</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，厂区焊接时间为3</w:t>
            </w:r>
            <w:r>
              <w:rPr>
                <w:rFonts w:hint="default" w:ascii="Times New Roman" w:hAnsi="Times New Roman" w:eastAsia="宋体" w:cs="Times New Roman"/>
                <w:color w:val="auto"/>
                <w:sz w:val="24"/>
                <w:szCs w:val="24"/>
                <w:lang w:val="en-US" w:eastAsia="zh-CN"/>
              </w:rPr>
              <w:t>h/a</w:t>
            </w:r>
            <w:r>
              <w:rPr>
                <w:rFonts w:hint="eastAsia" w:ascii="Times New Roman" w:hAnsi="Times New Roman" w:eastAsia="宋体" w:cs="Times New Roman"/>
                <w:color w:val="auto"/>
                <w:sz w:val="24"/>
                <w:szCs w:val="24"/>
                <w:lang w:val="en-US" w:eastAsia="zh-CN"/>
              </w:rPr>
              <w:t>，排放量为8</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lang w:val="en-US" w:eastAsia="zh-CN"/>
              </w:rPr>
              <w:t>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h/a</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-9</w:t>
            </w:r>
            <w:r>
              <w:rPr>
                <w:rFonts w:hint="default" w:ascii="Times New Roman" w:hAnsi="Times New Roman" w:eastAsia="宋体" w:cs="Times New Roman"/>
                <w:color w:val="auto"/>
                <w:sz w:val="24"/>
                <w:szCs w:val="24"/>
                <w:lang w:val="en-US" w:eastAsia="zh-CN"/>
              </w:rPr>
              <w:t>=0.0</w:t>
            </w:r>
            <w:r>
              <w:rPr>
                <w:rFonts w:hint="eastAsia" w:ascii="Times New Roman" w:hAnsi="Times New Roman" w:eastAsia="宋体" w:cs="Times New Roman"/>
                <w:color w:val="auto"/>
                <w:sz w:val="24"/>
                <w:szCs w:val="24"/>
                <w:lang w:val="en-US" w:eastAsia="zh-CN"/>
              </w:rPr>
              <w:t>000288</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p>
          <w:p>
            <w:pPr>
              <w:autoSpaceDE w:val="0"/>
              <w:autoSpaceDN w:val="0"/>
              <w:spacing w:line="480" w:lineRule="exact"/>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焊接烟尘未收集的无组织排放量为：</w:t>
            </w:r>
            <w:r>
              <w:rPr>
                <w:rFonts w:hint="eastAsia" w:ascii="Times New Roman" w:hAnsi="Times New Roman" w:eastAsia="宋体" w:cs="Times New Roman"/>
                <w:color w:val="auto"/>
                <w:sz w:val="24"/>
                <w:szCs w:val="24"/>
                <w:lang w:val="en-US" w:eastAsia="zh-CN"/>
              </w:rPr>
              <w:t>0.0032</w:t>
            </w:r>
            <w:r>
              <w:rPr>
                <w:rFonts w:hint="default" w:ascii="Times New Roman" w:hAnsi="Times New Roman" w:eastAsia="宋体" w:cs="Times New Roman"/>
                <w:color w:val="auto"/>
                <w:sz w:val="24"/>
                <w:szCs w:val="24"/>
                <w:lang w:val="en-US" w:eastAsia="zh-CN"/>
              </w:rPr>
              <w:t>t/a×（1-9</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0.00032</w:t>
            </w:r>
            <w:r>
              <w:rPr>
                <w:rFonts w:hint="default" w:ascii="Times New Roman" w:hAnsi="Times New Roman" w:eastAsia="宋体" w:cs="Times New Roman"/>
                <w:color w:val="auto"/>
                <w:sz w:val="24"/>
                <w:szCs w:val="24"/>
                <w:lang w:val="en-US" w:eastAsia="zh-CN"/>
              </w:rPr>
              <w:t>t/a。</w:t>
            </w:r>
          </w:p>
          <w:p>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焊接烟尘</w:t>
            </w:r>
            <w:r>
              <w:rPr>
                <w:rFonts w:hint="default" w:ascii="Times New Roman" w:hAnsi="Times New Roman" w:eastAsia="宋体" w:cs="Times New Roman"/>
                <w:color w:val="auto"/>
                <w:sz w:val="24"/>
                <w:szCs w:val="24"/>
              </w:rPr>
              <w:t>排放符合《大气污染物综合排放标准》（GB16297-1996）中表2二级标准限值要求。</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（3）喷砂粉尘</w:t>
            </w:r>
          </w:p>
          <w:p>
            <w:pPr>
              <w:keepNext w:val="0"/>
              <w:keepLines w:val="0"/>
              <w:pageBreakBefore w:val="0"/>
              <w:widowControl w:val="0"/>
              <w:kinsoku/>
              <w:wordWrap/>
              <w:overflowPunct/>
              <w:topLinePunct w:val="0"/>
              <w:bidi w:val="0"/>
              <w:adjustRightInd w:val="0"/>
              <w:snapToGrid w:val="0"/>
              <w:spacing w:line="480" w:lineRule="exact"/>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项目修理工件使用喷砂机对部分螺丝等小工件表面锈迹、毛刺、沙尘、棱角进行清理。除锈工艺可将工件表面抛光，提高工件光洁度，使工件露出均匀一致。本项目使用型号为</w:t>
            </w:r>
            <w:r>
              <w:rPr>
                <w:rFonts w:hint="default" w:ascii="Times New Roman" w:hAnsi="Times New Roman" w:eastAsia="宋体" w:cs="Times New Roman"/>
                <w:color w:val="auto"/>
                <w:sz w:val="24"/>
                <w:szCs w:val="24"/>
                <w:lang w:val="en-US" w:eastAsia="zh-CN"/>
              </w:rPr>
              <w:t>KS1000D</w:t>
            </w:r>
            <w:r>
              <w:rPr>
                <w:rFonts w:hint="eastAsia" w:ascii="Times New Roman" w:hAnsi="Times New Roman" w:eastAsia="宋体" w:cs="Times New Roman"/>
                <w:color w:val="auto"/>
                <w:sz w:val="24"/>
                <w:szCs w:val="24"/>
                <w:lang w:val="en-US" w:eastAsia="zh-CN"/>
              </w:rPr>
              <w:t>喷砂机对维修设备表面除锈，喷砂介质为石英砂，喷砂除锈在封闭喷砂间内进行，产生的灰尘主要包括废砂、金属碎屑、金属氧化物等。本项目喷砂机自带袋式除尘系统，集气效率</w:t>
            </w:r>
            <w:r>
              <w:rPr>
                <w:rFonts w:hint="default" w:ascii="Times New Roman" w:hAnsi="Times New Roman" w:eastAsia="宋体" w:cs="Times New Roman"/>
                <w:color w:val="auto"/>
                <w:sz w:val="24"/>
                <w:szCs w:val="24"/>
                <w:lang w:val="en-US" w:eastAsia="zh-CN"/>
              </w:rPr>
              <w:t>98%</w:t>
            </w:r>
            <w:r>
              <w:rPr>
                <w:rFonts w:hint="eastAsia" w:ascii="Times New Roman" w:hAnsi="Times New Roman" w:eastAsia="宋体" w:cs="Times New Roman"/>
                <w:color w:val="auto"/>
                <w:sz w:val="24"/>
                <w:szCs w:val="24"/>
                <w:lang w:val="en-US" w:eastAsia="zh-CN"/>
              </w:rPr>
              <w:t>，除尘效率为</w:t>
            </w:r>
            <w:r>
              <w:rPr>
                <w:rFonts w:hint="default" w:ascii="Times New Roman" w:hAnsi="Times New Roman" w:eastAsia="宋体" w:cs="Times New Roman"/>
                <w:color w:val="auto"/>
                <w:sz w:val="24"/>
                <w:szCs w:val="24"/>
                <w:lang w:val="en-US" w:eastAsia="zh-CN"/>
              </w:rPr>
              <w:t>98%</w:t>
            </w:r>
            <w:r>
              <w:rPr>
                <w:rFonts w:hint="eastAsia" w:ascii="Times New Roman" w:hAnsi="Times New Roman" w:eastAsia="宋体" w:cs="Times New Roman"/>
                <w:color w:val="auto"/>
                <w:sz w:val="24"/>
                <w:szCs w:val="24"/>
                <w:lang w:val="en-US" w:eastAsia="zh-CN"/>
              </w:rPr>
              <w:t>。喷砂机运行制度为</w:t>
            </w:r>
            <w:r>
              <w:rPr>
                <w:rFonts w:hint="default" w:ascii="Times New Roman" w:hAnsi="Times New Roman" w:eastAsia="宋体" w:cs="Times New Roman"/>
                <w:color w:val="auto"/>
                <w:sz w:val="24"/>
                <w:szCs w:val="24"/>
                <w:lang w:val="en-US" w:eastAsia="zh-CN"/>
              </w:rPr>
              <w:t>4h/d</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300d/a</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val="0"/>
              <w:autoSpaceDN w:val="0"/>
              <w:bidi w:val="0"/>
              <w:spacing w:line="480" w:lineRule="exact"/>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喷砂房</w:t>
            </w:r>
            <w:r>
              <w:rPr>
                <w:rFonts w:hint="default" w:ascii="Times New Roman" w:hAnsi="Times New Roman" w:eastAsia="宋体" w:cs="Times New Roman"/>
                <w:color w:val="auto"/>
                <w:sz w:val="24"/>
                <w:szCs w:val="24"/>
                <w:lang w:val="en-US" w:eastAsia="zh-CN"/>
              </w:rPr>
              <w:t>10m</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，体积</w:t>
            </w:r>
            <w:r>
              <w:rPr>
                <w:rFonts w:hint="default" w:ascii="Times New Roman" w:hAnsi="Times New Roman" w:eastAsia="宋体" w:cs="Times New Roman"/>
                <w:color w:val="auto"/>
                <w:sz w:val="24"/>
                <w:szCs w:val="24"/>
                <w:lang w:val="en-US" w:eastAsia="zh-CN"/>
              </w:rPr>
              <w:t>25m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，按照喷砂房每分钟换</w:t>
            </w:r>
            <w:r>
              <w:rPr>
                <w:rFonts w:hint="default"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次气计算，风机设计风量为9</w:t>
            </w:r>
            <w:r>
              <w:rPr>
                <w:rFonts w:hint="default" w:ascii="Times New Roman" w:hAnsi="Times New Roman" w:eastAsia="宋体" w:cs="Times New Roman"/>
                <w:color w:val="auto"/>
                <w:sz w:val="24"/>
                <w:szCs w:val="24"/>
                <w:lang w:val="en-US" w:eastAsia="zh-CN"/>
              </w:rPr>
              <w:t>000m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。类比《铸造防尘技术规程》（</w:t>
            </w:r>
            <w:r>
              <w:rPr>
                <w:rFonts w:hint="default" w:ascii="Times New Roman" w:hAnsi="Times New Roman" w:eastAsia="宋体" w:cs="Times New Roman"/>
                <w:color w:val="auto"/>
                <w:sz w:val="24"/>
                <w:szCs w:val="24"/>
                <w:lang w:val="en-US" w:eastAsia="zh-CN"/>
              </w:rPr>
              <w:t>GB8959-2007</w:t>
            </w:r>
            <w:r>
              <w:rPr>
                <w:rFonts w:hint="eastAsia" w:ascii="Times New Roman" w:hAnsi="Times New Roman" w:eastAsia="宋体" w:cs="Times New Roman"/>
                <w:color w:val="auto"/>
                <w:sz w:val="24"/>
                <w:szCs w:val="24"/>
                <w:lang w:val="en-US" w:eastAsia="zh-CN"/>
              </w:rPr>
              <w:t>）中抛丸机粉尘起始浓度，本项目喷砂机粉尘起始浓度以</w:t>
            </w:r>
            <w:r>
              <w:rPr>
                <w:rFonts w:hint="default" w:ascii="Times New Roman" w:hAnsi="Times New Roman" w:eastAsia="宋体" w:cs="Times New Roman"/>
                <w:color w:val="auto"/>
                <w:sz w:val="24"/>
                <w:szCs w:val="24"/>
                <w:lang w:val="en-US" w:eastAsia="zh-CN"/>
              </w:rPr>
              <w:t>3220mg/m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计算。则本项目喷砂处理工序粉尘的产生浓度和产生量及经处理后的排放浓度和排放量见表18：</w:t>
            </w:r>
          </w:p>
          <w:p>
            <w:pPr>
              <w:spacing w:before="0" w:after="4"/>
              <w:ind w:right="0"/>
              <w:jc w:val="center"/>
              <w:rPr>
                <w:rFonts w:ascii="Times New Roman" w:hAnsi="Times New Roman" w:eastAsia="宋体"/>
                <w:b/>
                <w:color w:val="auto"/>
                <w:sz w:val="21"/>
              </w:rPr>
            </w:pPr>
            <w:r>
              <w:rPr>
                <w:rFonts w:hint="eastAsia" w:ascii="Times New Roman" w:hAnsi="Times New Roman" w:eastAsia="宋体"/>
                <w:b/>
                <w:color w:val="auto"/>
                <w:sz w:val="21"/>
                <w:lang w:val="en-US" w:eastAsia="zh-CN"/>
              </w:rPr>
              <w:t>表18本项目喷砂工序粉尘排放情况一览表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936"/>
              <w:gridCol w:w="1091"/>
              <w:gridCol w:w="983"/>
              <w:gridCol w:w="721"/>
              <w:gridCol w:w="880"/>
              <w:gridCol w:w="1300"/>
              <w:gridCol w:w="908"/>
              <w:gridCol w:w="927"/>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5" w:type="pct"/>
                  <w:vMerge w:val="restar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污染物</w:t>
                  </w:r>
                </w:p>
              </w:tc>
              <w:tc>
                <w:tcPr>
                  <w:tcW w:w="443" w:type="pct"/>
                  <w:vMerge w:val="restar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废气量（</w:t>
                  </w:r>
                  <w:r>
                    <w:rPr>
                      <w:rFonts w:hint="default" w:ascii="Times New Roman" w:hAnsi="Times New Roman" w:eastAsia="宋体" w:cs="Times New Roman"/>
                      <w:b/>
                      <w:bCs/>
                      <w:color w:val="auto"/>
                      <w:sz w:val="18"/>
                      <w:szCs w:val="18"/>
                      <w:lang w:val="en-US" w:eastAsia="zh-CN"/>
                    </w:rPr>
                    <w:t>m</w:t>
                  </w:r>
                  <w:r>
                    <w:rPr>
                      <w:rFonts w:hint="default" w:ascii="Times New Roman" w:hAnsi="Times New Roman" w:eastAsia="宋体" w:cs="Times New Roman"/>
                      <w:b/>
                      <w:bCs/>
                      <w:color w:val="auto"/>
                      <w:sz w:val="18"/>
                      <w:szCs w:val="18"/>
                      <w:vertAlign w:val="superscript"/>
                      <w:lang w:val="en-US" w:eastAsia="zh-CN"/>
                    </w:rPr>
                    <w:t>3</w:t>
                  </w:r>
                  <w:r>
                    <w:rPr>
                      <w:rFonts w:hint="default" w:ascii="Times New Roman" w:hAnsi="Times New Roman" w:eastAsia="宋体" w:cs="Times New Roman"/>
                      <w:b/>
                      <w:bCs/>
                      <w:color w:val="auto"/>
                      <w:sz w:val="18"/>
                      <w:szCs w:val="18"/>
                      <w:lang w:val="en-US" w:eastAsia="zh-CN"/>
                    </w:rPr>
                    <w:t>/h</w:t>
                  </w:r>
                  <w:r>
                    <w:rPr>
                      <w:rFonts w:hint="eastAsia" w:ascii="Times New Roman" w:hAnsi="Times New Roman" w:eastAsia="宋体" w:cs="Times New Roman"/>
                      <w:b/>
                      <w:bCs/>
                      <w:color w:val="auto"/>
                      <w:sz w:val="18"/>
                      <w:szCs w:val="18"/>
                      <w:lang w:val="en-US" w:eastAsia="zh-CN"/>
                    </w:rPr>
                    <w:t>）</w:t>
                  </w:r>
                </w:p>
              </w:tc>
              <w:tc>
                <w:tcPr>
                  <w:tcW w:w="1092" w:type="pct"/>
                  <w:gridSpan w:val="2"/>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产生情况</w:t>
                  </w:r>
                </w:p>
              </w:tc>
              <w:tc>
                <w:tcPr>
                  <w:tcW w:w="845" w:type="pct"/>
                  <w:gridSpan w:val="2"/>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治理措施</w:t>
                  </w:r>
                </w:p>
              </w:tc>
              <w:tc>
                <w:tcPr>
                  <w:tcW w:w="2182" w:type="pct"/>
                  <w:gridSpan w:val="4"/>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35" w:type="pct"/>
                  <w:vMerge w:val="continue"/>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eastAsia" w:ascii="Times New Roman" w:hAnsi="Times New Roman" w:eastAsia="宋体" w:cs="Times New Roman"/>
                      <w:b/>
                      <w:bCs/>
                      <w:color w:val="auto"/>
                      <w:sz w:val="18"/>
                      <w:szCs w:val="18"/>
                      <w:lang w:val="en-US" w:eastAsia="zh-CN"/>
                    </w:rPr>
                  </w:pPr>
                </w:p>
              </w:tc>
              <w:tc>
                <w:tcPr>
                  <w:tcW w:w="443" w:type="pct"/>
                  <w:vMerge w:val="continue"/>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eastAsia" w:ascii="Times New Roman" w:hAnsi="Times New Roman" w:eastAsia="宋体" w:cs="Times New Roman"/>
                      <w:b/>
                      <w:bCs/>
                      <w:color w:val="auto"/>
                      <w:sz w:val="18"/>
                      <w:szCs w:val="18"/>
                      <w:lang w:val="en-US" w:eastAsia="zh-CN"/>
                    </w:rPr>
                  </w:pPr>
                </w:p>
              </w:tc>
              <w:tc>
                <w:tcPr>
                  <w:tcW w:w="57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产生浓度（</w:t>
                  </w:r>
                  <w:r>
                    <w:rPr>
                      <w:rFonts w:hint="default" w:ascii="Times New Roman" w:hAnsi="Times New Roman" w:eastAsia="宋体" w:cs="Times New Roman"/>
                      <w:b/>
                      <w:bCs/>
                      <w:color w:val="auto"/>
                      <w:sz w:val="18"/>
                      <w:szCs w:val="18"/>
                      <w:lang w:val="en-US" w:eastAsia="zh-CN"/>
                    </w:rPr>
                    <w:t>mg/m</w:t>
                  </w:r>
                  <w:r>
                    <w:rPr>
                      <w:rFonts w:hint="default" w:ascii="Times New Roman" w:hAnsi="Times New Roman" w:eastAsia="宋体" w:cs="Times New Roman"/>
                      <w:b/>
                      <w:bCs/>
                      <w:color w:val="auto"/>
                      <w:sz w:val="18"/>
                      <w:szCs w:val="18"/>
                      <w:vertAlign w:val="superscript"/>
                      <w:lang w:val="en-US" w:eastAsia="zh-CN"/>
                    </w:rPr>
                    <w:t>3</w:t>
                  </w:r>
                  <w:r>
                    <w:rPr>
                      <w:rFonts w:hint="eastAsia" w:ascii="Times New Roman" w:hAnsi="Times New Roman" w:eastAsia="宋体" w:cs="Times New Roman"/>
                      <w:b/>
                      <w:bCs/>
                      <w:color w:val="auto"/>
                      <w:sz w:val="18"/>
                      <w:szCs w:val="18"/>
                      <w:lang w:val="en-US" w:eastAsia="zh-CN"/>
                    </w:rPr>
                    <w:t>）</w:t>
                  </w:r>
                </w:p>
              </w:tc>
              <w:tc>
                <w:tcPr>
                  <w:tcW w:w="51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产生量（t/a）</w:t>
                  </w:r>
                </w:p>
              </w:tc>
              <w:tc>
                <w:tcPr>
                  <w:tcW w:w="38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集气效率</w:t>
                  </w:r>
                </w:p>
              </w:tc>
              <w:tc>
                <w:tcPr>
                  <w:tcW w:w="46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除尘效率</w:t>
                  </w:r>
                </w:p>
              </w:tc>
              <w:tc>
                <w:tcPr>
                  <w:tcW w:w="683"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排放浓度（</w:t>
                  </w:r>
                  <w:r>
                    <w:rPr>
                      <w:rFonts w:hint="default" w:ascii="Times New Roman" w:hAnsi="Times New Roman" w:eastAsia="宋体" w:cs="Times New Roman"/>
                      <w:b/>
                      <w:bCs/>
                      <w:color w:val="auto"/>
                      <w:sz w:val="18"/>
                      <w:szCs w:val="18"/>
                      <w:lang w:val="en-US" w:eastAsia="zh-CN"/>
                    </w:rPr>
                    <w:t>mg/m</w:t>
                  </w:r>
                  <w:r>
                    <w:rPr>
                      <w:rFonts w:hint="default" w:ascii="Times New Roman" w:hAnsi="Times New Roman" w:eastAsia="宋体" w:cs="Times New Roman"/>
                      <w:b/>
                      <w:bCs/>
                      <w:color w:val="auto"/>
                      <w:sz w:val="18"/>
                      <w:szCs w:val="18"/>
                      <w:vertAlign w:val="superscript"/>
                      <w:lang w:val="en-US" w:eastAsia="zh-CN"/>
                    </w:rPr>
                    <w:t>3</w:t>
                  </w:r>
                  <w:r>
                    <w:rPr>
                      <w:rFonts w:hint="eastAsia" w:ascii="Times New Roman" w:hAnsi="Times New Roman" w:eastAsia="宋体" w:cs="Times New Roman"/>
                      <w:b/>
                      <w:bCs/>
                      <w:color w:val="auto"/>
                      <w:sz w:val="18"/>
                      <w:szCs w:val="18"/>
                      <w:lang w:val="en-US" w:eastAsia="zh-CN"/>
                    </w:rPr>
                    <w:t>）</w:t>
                  </w:r>
                </w:p>
              </w:tc>
              <w:tc>
                <w:tcPr>
                  <w:tcW w:w="479"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排放量（t/a）</w:t>
                  </w:r>
                </w:p>
              </w:tc>
              <w:tc>
                <w:tcPr>
                  <w:tcW w:w="48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排放速率（kg/h）</w:t>
                  </w:r>
                </w:p>
              </w:tc>
              <w:tc>
                <w:tcPr>
                  <w:tcW w:w="53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无组织排放（t/a）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5"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颗粒物</w:t>
                  </w:r>
                </w:p>
              </w:tc>
              <w:tc>
                <w:tcPr>
                  <w:tcW w:w="443"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9000</w:t>
                  </w:r>
                </w:p>
              </w:tc>
              <w:tc>
                <w:tcPr>
                  <w:tcW w:w="57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3220</w:t>
                  </w:r>
                </w:p>
              </w:tc>
              <w:tc>
                <w:tcPr>
                  <w:tcW w:w="51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19.13</w:t>
                  </w:r>
                </w:p>
              </w:tc>
              <w:tc>
                <w:tcPr>
                  <w:tcW w:w="38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98%</w:t>
                  </w:r>
                </w:p>
              </w:tc>
              <w:tc>
                <w:tcPr>
                  <w:tcW w:w="46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98%</w:t>
                  </w:r>
                </w:p>
              </w:tc>
              <w:tc>
                <w:tcPr>
                  <w:tcW w:w="683"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34.72</w:t>
                  </w:r>
                </w:p>
              </w:tc>
              <w:tc>
                <w:tcPr>
                  <w:tcW w:w="479"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0.38</w:t>
                  </w:r>
                </w:p>
              </w:tc>
              <w:tc>
                <w:tcPr>
                  <w:tcW w:w="48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0.32</w:t>
                  </w:r>
                </w:p>
              </w:tc>
              <w:tc>
                <w:tcPr>
                  <w:tcW w:w="53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5"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标准值</w:t>
                  </w:r>
                </w:p>
              </w:tc>
              <w:tc>
                <w:tcPr>
                  <w:tcW w:w="443"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57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51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38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464"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683"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120</w:t>
                  </w:r>
                </w:p>
              </w:tc>
              <w:tc>
                <w:tcPr>
                  <w:tcW w:w="479"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488"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2.52</w:t>
                  </w:r>
                </w:p>
              </w:tc>
              <w:tc>
                <w:tcPr>
                  <w:tcW w:w="531" w:type="pct"/>
                  <w:vAlign w:val="center"/>
                </w:tcPr>
                <w:p>
                  <w:pPr>
                    <w:pStyle w:val="58"/>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r>
          </w:tbl>
          <w:p>
            <w:pPr>
              <w:spacing w:line="360" w:lineRule="auto"/>
              <w:ind w:firstLine="480" w:firstLineChars="200"/>
              <w:rPr>
                <w:rFonts w:hint="eastAsia" w:ascii="Times New Roman" w:hAnsi="Times New Roman" w:eastAsia="宋体"/>
                <w:b w:val="0"/>
                <w:bCs/>
                <w:color w:val="auto"/>
                <w:sz w:val="24"/>
                <w:lang w:val="en-US" w:eastAsia="zh-CN"/>
              </w:rPr>
            </w:pPr>
            <w:r>
              <w:rPr>
                <w:rFonts w:hint="eastAsia" w:ascii="Times New Roman" w:hAnsi="Times New Roman" w:eastAsia="宋体" w:cs="Times New Roman"/>
                <w:color w:val="auto"/>
                <w:sz w:val="24"/>
                <w:szCs w:val="24"/>
                <w:lang w:val="en-US" w:eastAsia="zh-CN"/>
              </w:rPr>
              <w:t>本项目喷砂系统产生的粉尘经设备自带的袋式除尘系统处理达标后通过</w:t>
            </w:r>
            <w:r>
              <w:rPr>
                <w:rFonts w:hint="default" w:ascii="Times New Roman" w:hAnsi="Times New Roman" w:eastAsia="宋体" w:cs="Times New Roman"/>
                <w:color w:val="auto"/>
                <w:sz w:val="24"/>
                <w:szCs w:val="24"/>
                <w:lang w:val="en-US" w:eastAsia="zh-CN"/>
              </w:rPr>
              <w:t>18m</w:t>
            </w:r>
            <w:r>
              <w:rPr>
                <w:rFonts w:hint="eastAsia" w:ascii="Times New Roman" w:hAnsi="Times New Roman" w:eastAsia="宋体" w:cs="Times New Roman"/>
                <w:color w:val="auto"/>
                <w:sz w:val="24"/>
                <w:szCs w:val="24"/>
                <w:lang w:val="en-US" w:eastAsia="zh-CN"/>
              </w:rPr>
              <w:t>高排气筒排放。在采取以上措施后，本项目此工序中产生的粉尘排放量较小，污染物粉尘的排放浓度及排放速率满足《大气污染物综合排放标准》（</w:t>
            </w:r>
            <w:r>
              <w:rPr>
                <w:rFonts w:hint="default" w:ascii="Times New Roman" w:hAnsi="Times New Roman" w:eastAsia="宋体" w:cs="Times New Roman"/>
                <w:color w:val="auto"/>
                <w:sz w:val="24"/>
                <w:szCs w:val="24"/>
                <w:lang w:val="en-US" w:eastAsia="zh-CN"/>
              </w:rPr>
              <w:t>GB16297-1996</w:t>
            </w:r>
            <w:r>
              <w:rPr>
                <w:rFonts w:hint="eastAsia" w:ascii="Times New Roman" w:hAnsi="Times New Roman" w:eastAsia="宋体" w:cs="Times New Roman"/>
                <w:color w:val="auto"/>
                <w:sz w:val="24"/>
                <w:szCs w:val="24"/>
                <w:lang w:val="en-US" w:eastAsia="zh-CN"/>
              </w:rPr>
              <w:t>）表</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中二级标准的要求（最高允许排放浓度限值</w:t>
            </w:r>
            <w:r>
              <w:rPr>
                <w:rFonts w:hint="default" w:ascii="Times New Roman" w:hAnsi="Times New Roman" w:eastAsia="宋体" w:cs="Times New Roman"/>
                <w:color w:val="auto"/>
                <w:sz w:val="24"/>
                <w:szCs w:val="24"/>
                <w:lang w:val="en-US" w:eastAsia="zh-CN"/>
              </w:rPr>
              <w:t>120mg/m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、最高允许排放排放速率</w:t>
            </w:r>
            <w:r>
              <w:rPr>
                <w:rFonts w:hint="default" w:ascii="Times New Roman" w:hAnsi="Times New Roman" w:eastAsia="宋体" w:cs="Times New Roman"/>
                <w:color w:val="auto"/>
                <w:sz w:val="24"/>
                <w:szCs w:val="24"/>
                <w:lang w:val="en-US" w:eastAsia="zh-CN"/>
              </w:rPr>
              <w:t>2.52kg/h</w:t>
            </w:r>
            <w:r>
              <w:rPr>
                <w:rFonts w:hint="eastAsia" w:ascii="Times New Roman" w:hAnsi="Times New Roman" w:eastAsia="宋体" w:cs="Times New Roman"/>
                <w:color w:val="auto"/>
                <w:sz w:val="24"/>
                <w:szCs w:val="24"/>
                <w:lang w:val="en-US" w:eastAsia="zh-CN"/>
              </w:rPr>
              <w:t>），可实现达标排放。</w:t>
            </w:r>
          </w:p>
          <w:p>
            <w:pPr>
              <w:spacing w:line="360" w:lineRule="auto"/>
              <w:ind w:firstLine="480" w:firstLineChars="200"/>
              <w:rPr>
                <w:rFonts w:hint="eastAsia" w:ascii="Times New Roman" w:hAnsi="Times New Roman" w:eastAsia="宋体"/>
                <w:b w:val="0"/>
                <w:bCs/>
                <w:color w:val="auto"/>
                <w:sz w:val="24"/>
              </w:rPr>
            </w:pPr>
            <w:r>
              <w:rPr>
                <w:rFonts w:hint="eastAsia" w:ascii="Times New Roman" w:hAnsi="Times New Roman" w:eastAsia="宋体"/>
                <w:b w:val="0"/>
                <w:bCs/>
                <w:color w:val="auto"/>
                <w:sz w:val="24"/>
                <w:lang w:val="en-US" w:eastAsia="zh-CN"/>
              </w:rPr>
              <w:t>（4）</w:t>
            </w:r>
            <w:r>
              <w:rPr>
                <w:rFonts w:hint="eastAsia" w:ascii="Times New Roman" w:hAnsi="Times New Roman" w:eastAsia="宋体"/>
                <w:b w:val="0"/>
                <w:bCs/>
                <w:color w:val="auto"/>
                <w:sz w:val="24"/>
              </w:rPr>
              <w:t>喷漆废气</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本项目需要对部分构件表面进行喷涂防锈漆的工作，以保证构件产品的使用寿命。</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1）喷漆工序</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项目采用两层涂层涂装工艺，即喷涂两道防锈漆，项目喷漆所用漆料为丙烯酸树脂漆，为高固体分环保型漆。采用高压无气喷涂的方式喷漆。利用高压“柱塞泵”不断往密封的涂料高压管内输送涂料，从而在密封空间内达到</w:t>
            </w:r>
            <w:r>
              <w:rPr>
                <w:rFonts w:hint="default" w:ascii="Times New Roman" w:hAnsi="Times New Roman" w:eastAsia="宋体" w:cs="Times New Roman"/>
                <w:color w:val="auto"/>
                <w:sz w:val="24"/>
                <w:szCs w:val="28"/>
                <w:lang w:val="en-US" w:eastAsia="zh-CN"/>
              </w:rPr>
              <w:t>500~5000PSI</w:t>
            </w:r>
            <w:r>
              <w:rPr>
                <w:rFonts w:hint="eastAsia"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zh-CN"/>
              </w:rPr>
              <w:t>35~350kg/cm</w:t>
            </w:r>
            <w:r>
              <w:rPr>
                <w:rFonts w:hint="eastAsia" w:ascii="Times New Roman" w:hAnsi="Times New Roman" w:eastAsia="宋体" w:cs="Times New Roman"/>
                <w:color w:val="auto"/>
                <w:sz w:val="24"/>
                <w:szCs w:val="28"/>
                <w:lang w:val="en-US" w:eastAsia="zh-CN"/>
              </w:rPr>
              <w:t>）左右的高压，然后释放连接于高压管末端的喷枪扳机，使高压“涂料流”强制通过极为细小的喷嘴（半径约</w:t>
            </w:r>
            <w:r>
              <w:rPr>
                <w:rFonts w:hint="default" w:ascii="Times New Roman" w:hAnsi="Times New Roman" w:eastAsia="宋体" w:cs="Times New Roman"/>
                <w:color w:val="auto"/>
                <w:sz w:val="24"/>
                <w:szCs w:val="28"/>
                <w:lang w:val="en-US" w:eastAsia="zh-CN"/>
              </w:rPr>
              <w:t>0.1~0.5cm</w:t>
            </w:r>
            <w:r>
              <w:rPr>
                <w:rFonts w:hint="eastAsia" w:ascii="Times New Roman" w:hAnsi="Times New Roman" w:eastAsia="宋体" w:cs="Times New Roman"/>
                <w:color w:val="auto"/>
                <w:sz w:val="24"/>
                <w:szCs w:val="28"/>
                <w:lang w:val="en-US" w:eastAsia="zh-CN"/>
              </w:rPr>
              <w:t>），当受高压的涂料离开喷嘴一接触空气，释放压力便立即剧烈膨胀，雾化成极细的小漆粒喷向被涂构件表面。</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在防锈漆上漆及烘干过程中，会产生非甲烷总烃（</w:t>
            </w:r>
            <w:r>
              <w:rPr>
                <w:rFonts w:hint="default" w:ascii="Times New Roman" w:hAnsi="Times New Roman" w:eastAsia="宋体" w:cs="Times New Roman"/>
                <w:color w:val="auto"/>
                <w:sz w:val="24"/>
                <w:szCs w:val="28"/>
                <w:lang w:val="en-US" w:eastAsia="zh-CN"/>
              </w:rPr>
              <w:t>VOCs</w:t>
            </w:r>
            <w:r>
              <w:rPr>
                <w:rFonts w:hint="eastAsia" w:ascii="Times New Roman" w:hAnsi="Times New Roman" w:eastAsia="宋体" w:cs="Times New Roman"/>
                <w:color w:val="auto"/>
                <w:sz w:val="24"/>
                <w:szCs w:val="28"/>
                <w:lang w:val="en-US" w:eastAsia="zh-CN"/>
              </w:rPr>
              <w:t>）和漆雾。类比同类项目，丙烯酸树脂漆的附着率为</w:t>
            </w:r>
            <w:r>
              <w:rPr>
                <w:rFonts w:hint="default" w:ascii="Times New Roman" w:hAnsi="Times New Roman" w:eastAsia="宋体" w:cs="Times New Roman"/>
                <w:color w:val="auto"/>
                <w:sz w:val="24"/>
                <w:szCs w:val="28"/>
                <w:lang w:val="en-US" w:eastAsia="zh-CN"/>
              </w:rPr>
              <w:t>80%</w:t>
            </w:r>
            <w:r>
              <w:rPr>
                <w:rFonts w:hint="eastAsia" w:ascii="Times New Roman" w:hAnsi="Times New Roman" w:eastAsia="宋体" w:cs="Times New Roman"/>
                <w:color w:val="auto"/>
                <w:sz w:val="24"/>
                <w:szCs w:val="28"/>
                <w:lang w:val="en-US" w:eastAsia="zh-CN"/>
              </w:rPr>
              <w:t>，剩余</w:t>
            </w:r>
            <w:r>
              <w:rPr>
                <w:rFonts w:hint="default" w:ascii="Times New Roman" w:hAnsi="Times New Roman" w:eastAsia="宋体" w:cs="Times New Roman"/>
                <w:color w:val="auto"/>
                <w:sz w:val="24"/>
                <w:szCs w:val="28"/>
                <w:lang w:val="en-US" w:eastAsia="zh-CN"/>
              </w:rPr>
              <w:t>20%</w:t>
            </w:r>
            <w:r>
              <w:rPr>
                <w:rFonts w:hint="eastAsia" w:ascii="Times New Roman" w:hAnsi="Times New Roman" w:eastAsia="宋体" w:cs="Times New Roman"/>
                <w:color w:val="auto"/>
                <w:sz w:val="24"/>
                <w:szCs w:val="28"/>
                <w:lang w:val="en-US" w:eastAsia="zh-CN"/>
              </w:rPr>
              <w:t>以漆雾形式挥发。同时，约</w:t>
            </w:r>
            <w:r>
              <w:rPr>
                <w:rFonts w:hint="default" w:ascii="Times New Roman" w:hAnsi="Times New Roman" w:eastAsia="宋体" w:cs="Times New Roman"/>
                <w:color w:val="auto"/>
                <w:sz w:val="24"/>
                <w:szCs w:val="28"/>
                <w:lang w:val="en-US" w:eastAsia="zh-CN"/>
              </w:rPr>
              <w:t>40%</w:t>
            </w:r>
            <w:r>
              <w:rPr>
                <w:rFonts w:hint="eastAsia" w:ascii="Times New Roman" w:hAnsi="Times New Roman" w:eastAsia="宋体" w:cs="Times New Roman"/>
                <w:color w:val="auto"/>
                <w:sz w:val="24"/>
                <w:szCs w:val="28"/>
                <w:lang w:val="en-US" w:eastAsia="zh-CN"/>
              </w:rPr>
              <w:t>的非甲烷总烃（</w:t>
            </w:r>
            <w:r>
              <w:rPr>
                <w:rFonts w:hint="default" w:ascii="Times New Roman" w:hAnsi="Times New Roman" w:eastAsia="宋体" w:cs="Times New Roman"/>
                <w:color w:val="auto"/>
                <w:sz w:val="24"/>
                <w:szCs w:val="28"/>
                <w:lang w:val="en-US" w:eastAsia="zh-CN"/>
              </w:rPr>
              <w:t>VOCs</w:t>
            </w:r>
            <w:r>
              <w:rPr>
                <w:rFonts w:hint="eastAsia" w:ascii="Times New Roman" w:hAnsi="Times New Roman" w:eastAsia="宋体" w:cs="Times New Roman"/>
                <w:color w:val="auto"/>
                <w:sz w:val="24"/>
                <w:szCs w:val="28"/>
                <w:lang w:val="en-US" w:eastAsia="zh-CN"/>
              </w:rPr>
              <w:t>）在喷漆工序中释放出，有</w:t>
            </w:r>
            <w:r>
              <w:rPr>
                <w:rFonts w:hint="default" w:ascii="Times New Roman" w:hAnsi="Times New Roman" w:eastAsia="宋体" w:cs="Times New Roman"/>
                <w:color w:val="auto"/>
                <w:sz w:val="24"/>
                <w:szCs w:val="28"/>
                <w:lang w:val="en-US" w:eastAsia="zh-CN"/>
              </w:rPr>
              <w:t>60%</w:t>
            </w:r>
            <w:r>
              <w:rPr>
                <w:rFonts w:hint="eastAsia" w:ascii="Times New Roman" w:hAnsi="Times New Roman" w:eastAsia="宋体" w:cs="Times New Roman"/>
                <w:color w:val="auto"/>
                <w:sz w:val="24"/>
                <w:szCs w:val="28"/>
                <w:lang w:val="en-US" w:eastAsia="zh-CN"/>
              </w:rPr>
              <w:t>的非甲烷总烃（</w:t>
            </w:r>
            <w:r>
              <w:rPr>
                <w:rFonts w:hint="default" w:ascii="Times New Roman" w:hAnsi="Times New Roman" w:eastAsia="宋体" w:cs="Times New Roman"/>
                <w:color w:val="auto"/>
                <w:sz w:val="24"/>
                <w:szCs w:val="28"/>
                <w:lang w:val="en-US" w:eastAsia="zh-CN"/>
              </w:rPr>
              <w:t>VOCs</w:t>
            </w:r>
            <w:r>
              <w:rPr>
                <w:rFonts w:hint="eastAsia" w:ascii="Times New Roman" w:hAnsi="Times New Roman" w:eastAsia="宋体" w:cs="Times New Roman"/>
                <w:color w:val="auto"/>
                <w:sz w:val="24"/>
                <w:szCs w:val="28"/>
                <w:lang w:val="en-US" w:eastAsia="zh-CN"/>
              </w:rPr>
              <w:t>）在烘干工序中释放出。</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根据油漆成分计算，本项目固体份含量为6.975</w:t>
            </w:r>
            <w:r>
              <w:rPr>
                <w:rFonts w:hint="default" w:ascii="Times New Roman" w:hAnsi="Times New Roman" w:eastAsia="宋体" w:cs="Times New Roman"/>
                <w:color w:val="auto"/>
                <w:sz w:val="24"/>
                <w:szCs w:val="28"/>
                <w:lang w:val="en-US" w:eastAsia="zh-CN"/>
              </w:rPr>
              <w:t>t/a</w:t>
            </w:r>
            <w:r>
              <w:rPr>
                <w:rFonts w:hint="eastAsia" w:ascii="Times New Roman" w:hAnsi="Times New Roman" w:eastAsia="宋体" w:cs="Times New Roman"/>
                <w:color w:val="auto"/>
                <w:sz w:val="24"/>
                <w:szCs w:val="28"/>
                <w:lang w:val="en-US" w:eastAsia="zh-CN"/>
              </w:rPr>
              <w:t>，防锈漆喷涂过程中漆雾产生量为</w:t>
            </w:r>
            <w:r>
              <w:rPr>
                <w:rFonts w:hint="default" w:ascii="Times New Roman" w:hAnsi="Times New Roman" w:eastAsia="宋体" w:cs="Times New Roman"/>
                <w:color w:val="auto"/>
                <w:sz w:val="24"/>
                <w:szCs w:val="28"/>
                <w:lang w:val="en-US" w:eastAsia="zh-CN"/>
              </w:rPr>
              <w:t>1.</w:t>
            </w:r>
            <w:r>
              <w:rPr>
                <w:rFonts w:hint="eastAsia" w:ascii="Times New Roman" w:hAnsi="Times New Roman" w:eastAsia="宋体" w:cs="Times New Roman"/>
                <w:color w:val="auto"/>
                <w:sz w:val="24"/>
                <w:szCs w:val="28"/>
                <w:lang w:val="en-US" w:eastAsia="zh-CN"/>
              </w:rPr>
              <w:t>395</w:t>
            </w:r>
            <w:r>
              <w:rPr>
                <w:rFonts w:hint="default" w:ascii="Times New Roman" w:hAnsi="Times New Roman" w:eastAsia="宋体" w:cs="Times New Roman"/>
                <w:color w:val="auto"/>
                <w:sz w:val="24"/>
                <w:szCs w:val="28"/>
                <w:lang w:val="en-US" w:eastAsia="zh-CN"/>
              </w:rPr>
              <w:t>t/a</w:t>
            </w:r>
            <w:r>
              <w:rPr>
                <w:rFonts w:hint="eastAsia" w:ascii="Times New Roman" w:hAnsi="Times New Roman" w:eastAsia="宋体" w:cs="Times New Roman"/>
                <w:color w:val="auto"/>
                <w:sz w:val="24"/>
                <w:szCs w:val="28"/>
                <w:lang w:val="en-US" w:eastAsia="zh-CN"/>
              </w:rPr>
              <w:t>；挥发性物质含量为2.025</w:t>
            </w:r>
            <w:r>
              <w:rPr>
                <w:rFonts w:hint="default" w:ascii="Times New Roman" w:hAnsi="Times New Roman" w:eastAsia="宋体" w:cs="Times New Roman"/>
                <w:color w:val="auto"/>
                <w:sz w:val="24"/>
                <w:szCs w:val="28"/>
                <w:lang w:val="en-US" w:eastAsia="zh-CN"/>
              </w:rPr>
              <w:t>t/a</w:t>
            </w:r>
            <w:r>
              <w:rPr>
                <w:rFonts w:hint="eastAsia" w:ascii="Times New Roman" w:hAnsi="Times New Roman" w:eastAsia="宋体" w:cs="Times New Roman"/>
                <w:color w:val="auto"/>
                <w:sz w:val="24"/>
                <w:szCs w:val="28"/>
                <w:lang w:val="en-US" w:eastAsia="zh-CN"/>
              </w:rPr>
              <w:t>，则喷漆过程非甲烷总烃（</w:t>
            </w:r>
            <w:r>
              <w:rPr>
                <w:rFonts w:hint="default" w:ascii="Times New Roman" w:hAnsi="Times New Roman" w:eastAsia="宋体" w:cs="Times New Roman"/>
                <w:color w:val="auto"/>
                <w:sz w:val="24"/>
                <w:szCs w:val="28"/>
                <w:lang w:val="en-US" w:eastAsia="zh-CN"/>
              </w:rPr>
              <w:t>VOCs</w:t>
            </w:r>
            <w:r>
              <w:rPr>
                <w:rFonts w:hint="eastAsia" w:ascii="Times New Roman" w:hAnsi="Times New Roman" w:eastAsia="宋体" w:cs="Times New Roman"/>
                <w:color w:val="auto"/>
                <w:sz w:val="24"/>
                <w:szCs w:val="28"/>
                <w:lang w:val="en-US" w:eastAsia="zh-CN"/>
              </w:rPr>
              <w:t>）产生量为0.81</w:t>
            </w:r>
            <w:r>
              <w:rPr>
                <w:rFonts w:hint="default" w:ascii="Times New Roman" w:hAnsi="Times New Roman" w:eastAsia="宋体" w:cs="Times New Roman"/>
                <w:color w:val="auto"/>
                <w:sz w:val="24"/>
                <w:szCs w:val="28"/>
                <w:lang w:val="en-US" w:eastAsia="zh-CN"/>
              </w:rPr>
              <w:t>t/a</w:t>
            </w:r>
            <w:r>
              <w:rPr>
                <w:rFonts w:hint="eastAsia" w:ascii="Times New Roman" w:hAnsi="Times New Roman" w:eastAsia="宋体" w:cs="Times New Roman"/>
                <w:color w:val="auto"/>
                <w:sz w:val="24"/>
                <w:szCs w:val="28"/>
                <w:lang w:val="en-US" w:eastAsia="zh-CN"/>
              </w:rPr>
              <w:t>，烘干过程非甲烷总烃（</w:t>
            </w:r>
            <w:r>
              <w:rPr>
                <w:rFonts w:hint="default" w:ascii="Times New Roman" w:hAnsi="Times New Roman" w:eastAsia="宋体" w:cs="Times New Roman"/>
                <w:color w:val="auto"/>
                <w:sz w:val="24"/>
                <w:szCs w:val="28"/>
                <w:lang w:val="en-US" w:eastAsia="zh-CN"/>
              </w:rPr>
              <w:t>VOCs</w:t>
            </w:r>
            <w:r>
              <w:rPr>
                <w:rFonts w:hint="eastAsia" w:ascii="Times New Roman" w:hAnsi="Times New Roman" w:eastAsia="宋体" w:cs="Times New Roman"/>
                <w:color w:val="auto"/>
                <w:sz w:val="24"/>
                <w:szCs w:val="28"/>
                <w:lang w:val="en-US" w:eastAsia="zh-CN"/>
              </w:rPr>
              <w:t>）产生量为1.125</w:t>
            </w:r>
            <w:r>
              <w:rPr>
                <w:rFonts w:hint="default" w:ascii="Times New Roman" w:hAnsi="Times New Roman" w:eastAsia="宋体" w:cs="Times New Roman"/>
                <w:color w:val="auto"/>
                <w:sz w:val="24"/>
                <w:szCs w:val="28"/>
                <w:lang w:val="en-US" w:eastAsia="zh-CN"/>
              </w:rPr>
              <w:t>t/a</w:t>
            </w:r>
            <w:r>
              <w:rPr>
                <w:rFonts w:hint="eastAsia" w:ascii="Times New Roman" w:hAnsi="Times New Roman" w:eastAsia="宋体" w:cs="Times New Roman"/>
                <w:color w:val="auto"/>
                <w:sz w:val="24"/>
                <w:szCs w:val="28"/>
                <w:lang w:val="en-US" w:eastAsia="zh-CN"/>
              </w:rPr>
              <w:t>。</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本项目喷漆房运行制度为1</w:t>
            </w:r>
            <w:r>
              <w:rPr>
                <w:rFonts w:hint="default" w:ascii="Times New Roman" w:hAnsi="Times New Roman" w:eastAsia="宋体" w:cs="Times New Roman"/>
                <w:color w:val="auto"/>
                <w:sz w:val="24"/>
                <w:szCs w:val="28"/>
                <w:lang w:val="en-US" w:eastAsia="zh-CN"/>
              </w:rPr>
              <w:t>h/d</w:t>
            </w:r>
            <w:r>
              <w:rPr>
                <w:rFonts w:hint="eastAsia"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zh-CN"/>
              </w:rPr>
              <w:t>200d/a</w:t>
            </w:r>
            <w:r>
              <w:rPr>
                <w:rFonts w:hint="eastAsia" w:ascii="Times New Roman" w:hAnsi="Times New Roman" w:eastAsia="宋体" w:cs="Times New Roman"/>
                <w:color w:val="auto"/>
                <w:sz w:val="24"/>
                <w:szCs w:val="28"/>
                <w:lang w:val="en-US" w:eastAsia="zh-CN"/>
              </w:rPr>
              <w:t>，本项目喷漆房工作时间为2</w:t>
            </w:r>
            <w:r>
              <w:rPr>
                <w:rFonts w:hint="default" w:ascii="Times New Roman" w:hAnsi="Times New Roman" w:eastAsia="宋体" w:cs="Times New Roman"/>
                <w:color w:val="auto"/>
                <w:sz w:val="24"/>
                <w:szCs w:val="28"/>
                <w:lang w:val="en-US" w:eastAsia="zh-CN"/>
              </w:rPr>
              <w:t>00h/a</w:t>
            </w:r>
            <w:r>
              <w:rPr>
                <w:rFonts w:hint="eastAsia" w:ascii="Times New Roman" w:hAnsi="Times New Roman" w:eastAsia="宋体" w:cs="Times New Roman"/>
                <w:color w:val="auto"/>
                <w:sz w:val="24"/>
                <w:szCs w:val="28"/>
                <w:lang w:val="en-US" w:eastAsia="zh-CN"/>
              </w:rPr>
              <w:t>。</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根据设备厂家提供的数据，该喷漆室总排气风量以</w:t>
            </w:r>
            <w:r>
              <w:rPr>
                <w:rFonts w:hint="default" w:ascii="Times New Roman" w:hAnsi="Times New Roman" w:eastAsia="宋体" w:cs="Times New Roman"/>
                <w:color w:val="auto"/>
                <w:sz w:val="24"/>
                <w:szCs w:val="28"/>
                <w:lang w:val="en-US" w:eastAsia="zh-CN"/>
              </w:rPr>
              <w:t>40000m</w:t>
            </w:r>
            <w:r>
              <w:rPr>
                <w:rFonts w:hint="default" w:ascii="Times New Roman" w:hAnsi="Times New Roman" w:eastAsia="宋体" w:cs="Times New Roman"/>
                <w:color w:val="auto"/>
                <w:sz w:val="24"/>
                <w:szCs w:val="28"/>
                <w:vertAlign w:val="superscript"/>
                <w:lang w:val="en-US" w:eastAsia="zh-CN"/>
              </w:rPr>
              <w:t>3</w:t>
            </w:r>
            <w:r>
              <w:rPr>
                <w:rFonts w:hint="default" w:ascii="Times New Roman" w:hAnsi="Times New Roman" w:eastAsia="宋体" w:cs="Times New Roman"/>
                <w:color w:val="auto"/>
                <w:sz w:val="24"/>
                <w:szCs w:val="28"/>
                <w:lang w:val="en-US" w:eastAsia="zh-CN"/>
              </w:rPr>
              <w:t>/h</w:t>
            </w:r>
            <w:r>
              <w:rPr>
                <w:rFonts w:hint="eastAsia" w:ascii="Times New Roman" w:hAnsi="Times New Roman" w:eastAsia="宋体" w:cs="Times New Roman"/>
                <w:color w:val="auto"/>
                <w:sz w:val="24"/>
                <w:szCs w:val="28"/>
                <w:lang w:val="en-US" w:eastAsia="zh-CN"/>
              </w:rPr>
              <w:t>计，废气收集效率为</w:t>
            </w:r>
            <w:r>
              <w:rPr>
                <w:rFonts w:hint="default" w:ascii="Times New Roman" w:hAnsi="Times New Roman" w:eastAsia="宋体" w:cs="Times New Roman"/>
                <w:color w:val="auto"/>
                <w:sz w:val="24"/>
                <w:szCs w:val="28"/>
                <w:lang w:val="en-US" w:eastAsia="zh-CN"/>
              </w:rPr>
              <w:t>95%</w:t>
            </w:r>
            <w:r>
              <w:rPr>
                <w:rFonts w:hint="eastAsia" w:ascii="Times New Roman" w:hAnsi="Times New Roman" w:eastAsia="宋体" w:cs="Times New Roman"/>
                <w:color w:val="auto"/>
                <w:sz w:val="24"/>
                <w:szCs w:val="28"/>
                <w:lang w:val="en-US" w:eastAsia="zh-CN"/>
              </w:rPr>
              <w:t>。经过</w:t>
            </w:r>
            <w:r>
              <w:rPr>
                <w:rFonts w:hint="default" w:ascii="Times New Roman" w:hAnsi="Times New Roman" w:eastAsia="宋体" w:cs="Times New Roman"/>
                <w:color w:val="auto"/>
                <w:sz w:val="24"/>
                <w:szCs w:val="28"/>
                <w:lang w:val="en-US" w:eastAsia="zh-CN"/>
              </w:rPr>
              <w:t>滤棉+</w:t>
            </w:r>
            <w:r>
              <w:rPr>
                <w:rFonts w:hint="eastAsia" w:ascii="Times New Roman" w:hAnsi="Times New Roman" w:eastAsia="宋体" w:cs="Times New Roman"/>
                <w:color w:val="auto"/>
                <w:sz w:val="24"/>
                <w:szCs w:val="28"/>
                <w:lang w:val="en-US" w:eastAsia="zh-CN"/>
              </w:rPr>
              <w:t>活性炭吸附/脱附+催化燃烧处理后，经15m烟筒排放。过滤棉净化效率为80%，活性炭吸附/脱附+催化燃烧去除率90%。</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A.</w:t>
            </w:r>
            <w:r>
              <w:rPr>
                <w:rFonts w:hint="default" w:ascii="Times New Roman" w:hAnsi="Times New Roman" w:eastAsia="宋体" w:cs="Times New Roman"/>
                <w:color w:val="auto"/>
                <w:sz w:val="24"/>
                <w:szCs w:val="28"/>
                <w:lang w:val="en-US" w:eastAsia="zh-CN"/>
              </w:rPr>
              <w:t>气体过滤装置</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为了防止漆雾灰尘和进入到活性炭吸附系统，以确保吸附处理系统的气源干净、干燥、无颗粒；采用金属箱体框架，过滤器安装在金属箱体内，定期更换。过滤材料采用合成纤维无纺布和铝复合物制成褶皱状，具有通风量大、阻力小、容尘量大等特点；</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过滤箱体：内部角钢框架焊接成型，外部Q235喷漆处理增加整体美观；设2级过滤(G4初效+F5中效)，除去废气中的漆雾颗粒等杂质；延长活性炭使用寿命及吸附周期</w:t>
            </w:r>
            <w:r>
              <w:rPr>
                <w:rFonts w:hint="eastAsia" w:ascii="Times New Roman" w:hAnsi="Times New Roman" w:eastAsia="宋体" w:cs="Times New Roman"/>
                <w:color w:val="auto"/>
                <w:sz w:val="24"/>
                <w:szCs w:val="28"/>
                <w:lang w:val="en-US" w:eastAsia="zh-CN"/>
              </w:rPr>
              <w:t>。</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B.</w:t>
            </w:r>
            <w:r>
              <w:rPr>
                <w:rFonts w:hint="default" w:ascii="Times New Roman" w:hAnsi="Times New Roman" w:eastAsia="宋体" w:cs="Times New Roman"/>
                <w:color w:val="auto"/>
                <w:sz w:val="24"/>
                <w:szCs w:val="28"/>
                <w:lang w:val="en-US" w:eastAsia="zh-CN"/>
              </w:rPr>
              <w:t>活性炭吸附装置</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废气经过合理的布风，使其均匀地通过固定吸附床内的活性炭层的过流断面，在一定的停留时间，由于活性炭表面与有机废气分子间相互引力的作用产生物理吸附，其特点是：吸附质（有机废气）和吸附剂（活性炭）相互不发生反应；过程进行较快；吸附剂本身性质在吸附过程中不变化；吸附过程可逆；从而将废气中的有机成份吸附在活性炭的表面，从而使废气得到净化，净化后的洁净气体通过风机及</w:t>
            </w:r>
            <w:r>
              <w:rPr>
                <w:rFonts w:hint="eastAsia" w:ascii="Times New Roman" w:hAnsi="Times New Roman" w:eastAsia="宋体" w:cs="Times New Roman"/>
                <w:color w:val="auto"/>
                <w:sz w:val="24"/>
                <w:szCs w:val="28"/>
                <w:lang w:val="en-US" w:eastAsia="zh-CN"/>
              </w:rPr>
              <w:t>排气筒</w:t>
            </w:r>
            <w:r>
              <w:rPr>
                <w:rFonts w:hint="default" w:ascii="Times New Roman" w:hAnsi="Times New Roman" w:eastAsia="宋体" w:cs="Times New Roman"/>
                <w:color w:val="auto"/>
                <w:sz w:val="24"/>
                <w:szCs w:val="28"/>
                <w:lang w:val="en-US" w:eastAsia="zh-CN"/>
              </w:rPr>
              <w:t>达标排放。</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C.</w:t>
            </w:r>
            <w:r>
              <w:rPr>
                <w:rFonts w:hint="default" w:ascii="Times New Roman" w:hAnsi="Times New Roman" w:eastAsia="宋体" w:cs="Times New Roman"/>
                <w:color w:val="auto"/>
                <w:sz w:val="24"/>
                <w:szCs w:val="28"/>
                <w:lang w:val="en-US" w:eastAsia="zh-CN"/>
              </w:rPr>
              <w:t>催化燃烧装置</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催化净化装置内设加热室，启动加热装置，进入内部循环，当热气源达到有机物的沸点时，有机物从活性炭内跑出来，进入催化室进行催化分解成二氧化碳和水，同时释放出能量，利用释放出的能量再进入吸附床脱附，此时加热装置完全停止工作，有机废气在催化燃烧室内维持自燃，尾气再生，循环进行，直至有机物完全从活性炭内部分离，至催化室分解，活性炭得到了再生，有机物得到催化分解处理；间隙式每次脱附均需启动加热装置，可以连续脱附就不需要加热功率。</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催化燃烧：利用催化剂做中间体，使有机气体在较低的温度下，变成无害的水和二氧化碳。本装置由主机、引风机及电控柜组成，净化装置主机由换热器、催化床、电加热元件、阻火阻尘器和防爆装置等组成，阻火除尘器位于进气管道上，防爆装置设在主机的顶部。</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活性炭吸附</w:t>
            </w:r>
            <w:r>
              <w:rPr>
                <w:rFonts w:hint="eastAsia"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zh-CN"/>
              </w:rPr>
              <w:t>脱附+催化燃烧再生工作原理为：含有机物的废气经过风机的作用通过活性炭吸附层时，被活性炭特有的作用力吸附浓缩，经过一段时间后吸附饱和，启动催化燃烧装置，催化燃烧装置将热空气源源不断的送入活性炭吸附箱，当热量达到有机物的沸点时，使之挥发出来，通过管道循环进入催化室进行催化分解成水和二氧化碳同时释放热能，产生的热能回用于活性炭脱附，因此活性炭实现了脱附再生，有机物也得到了充分利用</w:t>
            </w:r>
            <w:r>
              <w:rPr>
                <w:rFonts w:hint="eastAsia" w:ascii="Times New Roman" w:hAnsi="Times New Roman" w:eastAsia="宋体" w:cs="Times New Roman"/>
                <w:color w:val="auto"/>
                <w:sz w:val="24"/>
                <w:szCs w:val="28"/>
                <w:lang w:val="en-US" w:eastAsia="zh-CN"/>
              </w:rPr>
              <w:t>。</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在喷涂作业生产过程中挥发产生的有机废气会含有少量的粉尘、漆雾及杂质等，所以在废气进入活性炭吸附装置前必须要加装预处理设备，否则粉尘、杂质长期积累进入活性炭吸附装置，会使活性炭堵塞从而达不到过滤效果。</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2</w:t>
            </w:r>
            <w:r>
              <w:rPr>
                <w:rFonts w:hint="eastAsia" w:ascii="Times New Roman" w:hAnsi="Times New Roman" w:eastAsia="宋体" w:cs="Times New Roman"/>
                <w:color w:val="auto"/>
                <w:sz w:val="24"/>
                <w:szCs w:val="28"/>
                <w:lang w:val="en-US" w:eastAsia="zh-CN"/>
              </w:rPr>
              <w:t>）烘干过程</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本项目构件表面进行喷漆后，接着进行低温烘干工序。在烘干状态下：前室大门关闭，排风机停止，循环风机、电加热器启动，经加热的空气在风机的推动下，被送至室体侧部静压室，进行风量分配后，进入室体内以层流方式自右而左流动，流经工件表面，对工件进行加热。大部分热空气在风机的牵引作用下，又被送入回风道内继续加热利用，使房内温度逐步升高，当室内温度升到指定值时，电加热器停止加热，室内处于保温状态；当室内温度低于指定温度时，已停止工作的电热器重起加热，达到指定温度。使室内烘干温度无死角。</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工件烘干完成后系统自动启动排风机将室内有害气体净化排放，烘干完毕。同时室内设有可燃气体浓度检测和报警装置，当烘干过程中废气浓度达到指定值时排风机自动启动，避免危险情况发生。</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项目烘干工序采用夹套间接加热、热风对流的方式进行烘干，热源为电加热，烘干温度为</w:t>
            </w:r>
            <w:r>
              <w:rPr>
                <w:rFonts w:hint="default" w:ascii="Times New Roman" w:hAnsi="Times New Roman" w:eastAsia="宋体" w:cs="Times New Roman"/>
                <w:color w:val="auto"/>
                <w:sz w:val="24"/>
                <w:szCs w:val="28"/>
                <w:lang w:val="en-US" w:eastAsia="zh-CN"/>
              </w:rPr>
              <w:t>65~80</w:t>
            </w:r>
            <w:r>
              <w:rPr>
                <w:rFonts w:hint="eastAsia" w:ascii="Times New Roman" w:hAnsi="Times New Roman" w:eastAsia="宋体" w:cs="Times New Roman"/>
                <w:color w:val="auto"/>
                <w:sz w:val="24"/>
                <w:szCs w:val="28"/>
                <w:lang w:val="en-US" w:eastAsia="zh-CN"/>
              </w:rPr>
              <w:t>℃（温度可调），烘干时间约为</w:t>
            </w:r>
            <w:r>
              <w:rPr>
                <w:rFonts w:hint="default" w:ascii="Times New Roman" w:hAnsi="Times New Roman" w:eastAsia="宋体" w:cs="Times New Roman"/>
                <w:color w:val="auto"/>
                <w:sz w:val="24"/>
                <w:szCs w:val="28"/>
                <w:lang w:val="en-US" w:eastAsia="zh-CN"/>
              </w:rPr>
              <w:t>1</w:t>
            </w:r>
            <w:r>
              <w:rPr>
                <w:rFonts w:hint="eastAsia" w:ascii="Times New Roman" w:hAnsi="Times New Roman" w:eastAsia="宋体" w:cs="Times New Roman"/>
                <w:color w:val="auto"/>
                <w:sz w:val="24"/>
                <w:szCs w:val="28"/>
                <w:lang w:val="en-US" w:eastAsia="zh-CN"/>
              </w:rPr>
              <w:t>小时，单次排气时长</w:t>
            </w:r>
            <w:r>
              <w:rPr>
                <w:rFonts w:hint="default" w:ascii="Times New Roman" w:hAnsi="Times New Roman" w:eastAsia="宋体" w:cs="Times New Roman"/>
                <w:color w:val="auto"/>
                <w:sz w:val="24"/>
                <w:szCs w:val="28"/>
                <w:lang w:val="en-US" w:eastAsia="zh-CN"/>
              </w:rPr>
              <w:t>15min</w:t>
            </w:r>
            <w:r>
              <w:rPr>
                <w:rFonts w:hint="eastAsia" w:ascii="Times New Roman" w:hAnsi="Times New Roman" w:eastAsia="宋体" w:cs="Times New Roman"/>
                <w:color w:val="auto"/>
                <w:sz w:val="24"/>
                <w:szCs w:val="28"/>
                <w:lang w:val="en-US" w:eastAsia="zh-CN"/>
              </w:rPr>
              <w:t>，项目烘干环节日工作1.5小时，年工作</w:t>
            </w:r>
            <w:r>
              <w:rPr>
                <w:rFonts w:hint="default" w:ascii="Times New Roman" w:hAnsi="Times New Roman" w:eastAsia="宋体" w:cs="Times New Roman"/>
                <w:color w:val="auto"/>
                <w:sz w:val="24"/>
                <w:szCs w:val="28"/>
                <w:lang w:val="en-US" w:eastAsia="zh-CN"/>
              </w:rPr>
              <w:t>200d</w:t>
            </w:r>
            <w:r>
              <w:rPr>
                <w:rFonts w:hint="eastAsia" w:ascii="Times New Roman" w:hAnsi="Times New Roman" w:eastAsia="宋体" w:cs="Times New Roman"/>
                <w:color w:val="auto"/>
                <w:sz w:val="24"/>
                <w:szCs w:val="28"/>
                <w:lang w:val="en-US" w:eastAsia="zh-CN"/>
              </w:rPr>
              <w:t>，则烘干环节排气时间合约3</w:t>
            </w:r>
            <w:r>
              <w:rPr>
                <w:rFonts w:hint="default" w:ascii="Times New Roman" w:hAnsi="Times New Roman" w:eastAsia="宋体" w:cs="Times New Roman"/>
                <w:color w:val="auto"/>
                <w:sz w:val="24"/>
                <w:szCs w:val="28"/>
                <w:lang w:val="en-US" w:eastAsia="zh-CN"/>
              </w:rPr>
              <w:t>00h/a</w:t>
            </w:r>
            <w:r>
              <w:rPr>
                <w:rFonts w:hint="eastAsia" w:ascii="Times New Roman" w:hAnsi="Times New Roman" w:eastAsia="宋体" w:cs="Times New Roman"/>
                <w:color w:val="auto"/>
                <w:sz w:val="24"/>
                <w:szCs w:val="28"/>
                <w:lang w:val="en-US" w:eastAsia="zh-CN"/>
              </w:rPr>
              <w:t>。</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根据设备厂家提供的数据，烘干环节总排气风量为</w:t>
            </w:r>
            <w:r>
              <w:rPr>
                <w:rFonts w:hint="default" w:ascii="Times New Roman" w:hAnsi="Times New Roman" w:eastAsia="宋体" w:cs="Times New Roman"/>
                <w:color w:val="auto"/>
                <w:sz w:val="24"/>
                <w:szCs w:val="28"/>
                <w:lang w:val="en-US" w:eastAsia="zh-CN"/>
              </w:rPr>
              <w:t>20000m</w:t>
            </w:r>
            <w:r>
              <w:rPr>
                <w:rFonts w:hint="default" w:ascii="Times New Roman" w:hAnsi="Times New Roman" w:eastAsia="宋体" w:cs="Times New Roman"/>
                <w:color w:val="auto"/>
                <w:sz w:val="24"/>
                <w:szCs w:val="28"/>
                <w:vertAlign w:val="superscript"/>
                <w:lang w:val="en-US" w:eastAsia="zh-CN"/>
              </w:rPr>
              <w:t>3</w:t>
            </w:r>
            <w:r>
              <w:rPr>
                <w:rFonts w:hint="default" w:ascii="Times New Roman" w:hAnsi="Times New Roman" w:eastAsia="宋体" w:cs="Times New Roman"/>
                <w:color w:val="auto"/>
                <w:sz w:val="24"/>
                <w:szCs w:val="28"/>
                <w:lang w:val="en-US" w:eastAsia="zh-CN"/>
              </w:rPr>
              <w:t>/h</w:t>
            </w:r>
            <w:r>
              <w:rPr>
                <w:rFonts w:hint="eastAsia" w:ascii="Times New Roman" w:hAnsi="Times New Roman" w:eastAsia="宋体" w:cs="Times New Roman"/>
                <w:color w:val="auto"/>
                <w:sz w:val="24"/>
                <w:szCs w:val="28"/>
                <w:lang w:val="en-US" w:eastAsia="zh-CN"/>
              </w:rPr>
              <w:t>计，废气收集效率为</w:t>
            </w:r>
            <w:r>
              <w:rPr>
                <w:rFonts w:hint="default" w:ascii="Times New Roman" w:hAnsi="Times New Roman" w:eastAsia="宋体" w:cs="Times New Roman"/>
                <w:color w:val="auto"/>
                <w:sz w:val="24"/>
                <w:szCs w:val="28"/>
                <w:lang w:val="en-US" w:eastAsia="zh-CN"/>
              </w:rPr>
              <w:t>95%</w:t>
            </w:r>
            <w:r>
              <w:rPr>
                <w:rFonts w:hint="eastAsia" w:ascii="Times New Roman" w:hAnsi="Times New Roman" w:eastAsia="宋体" w:cs="Times New Roman"/>
                <w:color w:val="auto"/>
                <w:sz w:val="24"/>
                <w:szCs w:val="28"/>
                <w:lang w:val="en-US" w:eastAsia="zh-CN"/>
              </w:rPr>
              <w:t>。经过</w:t>
            </w:r>
            <w:r>
              <w:rPr>
                <w:rFonts w:hint="default" w:ascii="Times New Roman" w:hAnsi="Times New Roman" w:eastAsia="宋体" w:cs="Times New Roman"/>
                <w:color w:val="auto"/>
                <w:sz w:val="24"/>
                <w:szCs w:val="28"/>
                <w:lang w:val="en-US" w:eastAsia="zh-CN"/>
              </w:rPr>
              <w:t>滤棉+</w:t>
            </w:r>
            <w:r>
              <w:rPr>
                <w:rFonts w:hint="eastAsia" w:ascii="Times New Roman" w:hAnsi="Times New Roman" w:eastAsia="宋体" w:cs="Times New Roman"/>
                <w:color w:val="auto"/>
                <w:sz w:val="24"/>
                <w:szCs w:val="28"/>
                <w:lang w:val="en-US" w:eastAsia="zh-CN"/>
              </w:rPr>
              <w:t>活性炭吸附/脱附+催化燃烧处理后，经15m烟筒排放。过滤棉净化效率为80%，活性炭吸附/脱附+催化燃烧去除率90%。</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喷漆及晾干过程不同是进行，因此两个工序可共用一套有机废气处理装置。</w:t>
            </w:r>
          </w:p>
          <w:p>
            <w:pPr>
              <w:snapToGrid w:val="0"/>
              <w:spacing w:line="480" w:lineRule="exact"/>
              <w:ind w:firstLine="480" w:firstLineChars="20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2、废气污染物核算</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根据《污染源源强核算技术指南（</w:t>
            </w:r>
            <w:r>
              <w:rPr>
                <w:rFonts w:hint="default" w:ascii="Times New Roman" w:hAnsi="Times New Roman" w:eastAsia="宋体" w:cs="Times New Roman"/>
                <w:color w:val="auto"/>
                <w:sz w:val="24"/>
                <w:szCs w:val="28"/>
                <w:lang w:val="en-US" w:eastAsia="zh-CN"/>
              </w:rPr>
              <w:t>HJ884-2018</w:t>
            </w:r>
            <w:r>
              <w:rPr>
                <w:rFonts w:hint="eastAsia" w:ascii="Times New Roman" w:hAnsi="Times New Roman" w:eastAsia="宋体" w:cs="Times New Roman"/>
                <w:color w:val="auto"/>
                <w:sz w:val="24"/>
                <w:szCs w:val="28"/>
                <w:lang w:val="en-US" w:eastAsia="zh-CN"/>
              </w:rPr>
              <w:t>）》，本项目废气污染源源强核算结果及相关参数一览表见下表：</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（1）废气产生及治理措施情况见表19。</w:t>
            </w:r>
          </w:p>
          <w:p>
            <w:pPr>
              <w:adjustRightInd w:val="0"/>
              <w:snapToGrid w:val="0"/>
              <w:jc w:val="center"/>
              <w:rPr>
                <w:rFonts w:hint="eastAsia" w:ascii="Times New Roman" w:hAnsi="Times New Roman" w:eastAsia="宋体"/>
                <w:b/>
                <w:bCs/>
                <w:color w:val="auto"/>
              </w:rPr>
            </w:pPr>
            <w:r>
              <w:rPr>
                <w:rFonts w:hint="eastAsia" w:ascii="Times New Roman" w:hAnsi="Times New Roman" w:eastAsia="宋体"/>
                <w:b/>
                <w:bCs/>
                <w:color w:val="auto"/>
              </w:rPr>
              <w:t>表</w:t>
            </w:r>
            <w:r>
              <w:rPr>
                <w:rFonts w:hint="eastAsia" w:ascii="Times New Roman" w:hAnsi="Times New Roman" w:eastAsia="宋体"/>
                <w:b/>
                <w:bCs/>
                <w:color w:val="auto"/>
                <w:lang w:val="en-US" w:eastAsia="zh-CN"/>
              </w:rPr>
              <w:t>19</w:t>
            </w:r>
            <w:r>
              <w:rPr>
                <w:rFonts w:hint="eastAsia" w:ascii="Times New Roman" w:hAnsi="Times New Roman" w:eastAsia="宋体"/>
                <w:b/>
                <w:bCs/>
                <w:color w:val="auto"/>
              </w:rPr>
              <w:t>废气产生及治理措施情况表</w:t>
            </w:r>
          </w:p>
          <w:tbl>
            <w:tblPr>
              <w:tblStyle w:val="21"/>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356"/>
              <w:gridCol w:w="1076"/>
              <w:gridCol w:w="915"/>
              <w:gridCol w:w="1189"/>
              <w:gridCol w:w="1182"/>
              <w:gridCol w:w="2210"/>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产污环节</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污染物种类</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污染物产生量（t/a）</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排放形式</w:t>
                  </w:r>
                </w:p>
              </w:tc>
              <w:tc>
                <w:tcPr>
                  <w:tcW w:w="62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治理措施</w:t>
                  </w:r>
                </w:p>
              </w:tc>
              <w:tc>
                <w:tcPr>
                  <w:tcW w:w="617"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污染物排放量（t/a）</w:t>
                  </w:r>
                </w:p>
              </w:tc>
              <w:tc>
                <w:tcPr>
                  <w:tcW w:w="1154"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排放标准</w:t>
                  </w: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措施可行性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切割工序</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颗粒物</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集气罩+布袋除尘器</w:t>
                  </w:r>
                </w:p>
              </w:tc>
              <w:tc>
                <w:tcPr>
                  <w:tcW w:w="617" w:type="pct"/>
                  <w:vAlign w:val="center"/>
                </w:tcPr>
                <w:p>
                  <w:pPr>
                    <w:pStyle w:val="68"/>
                    <w:ind w:firstLine="0" w:firstLineChars="0"/>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0.00027</w:t>
                  </w:r>
                </w:p>
              </w:tc>
              <w:tc>
                <w:tcPr>
                  <w:tcW w:w="1154"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《大气污染物综合排放标准》（</w:t>
                  </w:r>
                  <w:r>
                    <w:rPr>
                      <w:rFonts w:hint="default" w:ascii="Times New Roman" w:hAnsi="Times New Roman" w:eastAsia="宋体" w:cs="Times New Roman"/>
                      <w:color w:val="auto"/>
                      <w:sz w:val="21"/>
                      <w:szCs w:val="21"/>
                      <w:vertAlign w:val="baseline"/>
                      <w:lang w:val="en-US" w:eastAsia="zh-CN"/>
                    </w:rPr>
                    <w:t>GB16297-1996</w:t>
                  </w:r>
                  <w:r>
                    <w:rPr>
                      <w:rFonts w:hint="eastAsia" w:ascii="Times New Roman" w:hAnsi="Times New Roman" w:eastAsia="宋体" w:cs="Times New Roman"/>
                      <w:color w:val="auto"/>
                      <w:sz w:val="21"/>
                      <w:szCs w:val="21"/>
                      <w:vertAlign w:val="baseline"/>
                      <w:lang w:val="en-US" w:eastAsia="zh-CN"/>
                    </w:rPr>
                    <w:t>）表</w:t>
                  </w:r>
                  <w:r>
                    <w:rPr>
                      <w:rFonts w:hint="default" w:ascii="Times New Roman" w:hAnsi="Times New Roman" w:eastAsia="宋体" w:cs="Times New Roman"/>
                      <w:color w:val="auto"/>
                      <w:sz w:val="21"/>
                      <w:szCs w:val="21"/>
                      <w:vertAlign w:val="baseline"/>
                      <w:lang w:val="en-US" w:eastAsia="zh-CN"/>
                    </w:rPr>
                    <w:t>2</w:t>
                  </w:r>
                  <w:r>
                    <w:rPr>
                      <w:rFonts w:hint="eastAsia" w:ascii="Times New Roman" w:hAnsi="Times New Roman" w:eastAsia="宋体" w:cs="Times New Roman"/>
                      <w:color w:val="auto"/>
                      <w:sz w:val="21"/>
                      <w:szCs w:val="21"/>
                      <w:vertAlign w:val="baseline"/>
                      <w:lang w:val="en-US" w:eastAsia="zh-CN"/>
                    </w:rPr>
                    <w:t>中二级标准的要求</w:t>
                  </w: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焊接工序</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颗粒物</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0.0032</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集气罩+布袋除尘器</w:t>
                  </w:r>
                </w:p>
              </w:tc>
              <w:tc>
                <w:tcPr>
                  <w:tcW w:w="617" w:type="pct"/>
                  <w:vAlign w:val="center"/>
                </w:tcPr>
                <w:p>
                  <w:pPr>
                    <w:pStyle w:val="68"/>
                    <w:ind w:firstLine="0" w:firstLineChars="0"/>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0.0000288</w:t>
                  </w:r>
                </w:p>
              </w:tc>
              <w:tc>
                <w:tcPr>
                  <w:tcW w:w="115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喷砂工序</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颗粒物</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19.13</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集气罩+布袋除尘器</w:t>
                  </w:r>
                </w:p>
              </w:tc>
              <w:tc>
                <w:tcPr>
                  <w:tcW w:w="617" w:type="pct"/>
                  <w:vAlign w:val="center"/>
                </w:tcPr>
                <w:p>
                  <w:pPr>
                    <w:pStyle w:val="68"/>
                    <w:ind w:firstLine="0" w:firstLineChars="0"/>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0.38</w:t>
                  </w:r>
                </w:p>
              </w:tc>
              <w:tc>
                <w:tcPr>
                  <w:tcW w:w="115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喷漆工序</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0.81</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滤棉+</w:t>
                  </w:r>
                  <w:r>
                    <w:rPr>
                      <w:rFonts w:hint="eastAsia" w:ascii="Times New Roman" w:hAnsi="Times New Roman" w:eastAsia="宋体" w:cs="Times New Roman"/>
                      <w:color w:val="auto"/>
                      <w:sz w:val="21"/>
                      <w:szCs w:val="21"/>
                      <w:vertAlign w:val="baseline"/>
                      <w:lang w:val="en-US" w:eastAsia="zh-CN"/>
                    </w:rPr>
                    <w:t>活性炭吸附/脱附+催化燃烧处理</w:t>
                  </w:r>
                </w:p>
              </w:tc>
              <w:tc>
                <w:tcPr>
                  <w:tcW w:w="617"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0.077</w:t>
                  </w:r>
                </w:p>
              </w:tc>
              <w:tc>
                <w:tcPr>
                  <w:tcW w:w="1154"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《山西省重点行业挥发性有机物2017年专项治理方案》表一、表二工业涂装行业限值要求</w:t>
                  </w: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颗粒物</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1.395</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617"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0.265</w:t>
                  </w:r>
                </w:p>
              </w:tc>
              <w:tc>
                <w:tcPr>
                  <w:tcW w:w="115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烘干工序</w:t>
                  </w:r>
                </w:p>
              </w:tc>
              <w:tc>
                <w:tcPr>
                  <w:tcW w:w="70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56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1.125</w:t>
                  </w:r>
                </w:p>
              </w:tc>
              <w:tc>
                <w:tcPr>
                  <w:tcW w:w="478"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w:t>
                  </w:r>
                </w:p>
              </w:tc>
              <w:tc>
                <w:tcPr>
                  <w:tcW w:w="621"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617"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0.107</w:t>
                  </w:r>
                </w:p>
              </w:tc>
              <w:tc>
                <w:tcPr>
                  <w:tcW w:w="1154"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p>
              </w:tc>
              <w:tc>
                <w:tcPr>
                  <w:tcW w:w="481"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是</w:t>
                  </w:r>
                </w:p>
              </w:tc>
            </w:tr>
          </w:tbl>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（2）无组织废气产生及排放情况见表20。</w:t>
            </w:r>
          </w:p>
          <w:p>
            <w:pPr>
              <w:adjustRightInd w:val="0"/>
              <w:snapToGrid w:val="0"/>
              <w:spacing w:before="120" w:beforeLines="50"/>
              <w:jc w:val="center"/>
              <w:rPr>
                <w:rFonts w:hint="eastAsia" w:ascii="Times New Roman" w:hAnsi="Times New Roman" w:eastAsia="宋体"/>
                <w:b/>
                <w:bCs/>
                <w:color w:val="auto"/>
              </w:rPr>
            </w:pPr>
            <w:r>
              <w:rPr>
                <w:rFonts w:hint="eastAsia" w:ascii="Times New Roman" w:hAnsi="Times New Roman" w:eastAsia="宋体"/>
                <w:b/>
                <w:bCs/>
                <w:color w:val="auto"/>
              </w:rPr>
              <w:t>表</w:t>
            </w:r>
            <w:r>
              <w:rPr>
                <w:rFonts w:hint="eastAsia" w:ascii="Times New Roman" w:hAnsi="Times New Roman" w:eastAsia="宋体"/>
                <w:b/>
                <w:bCs/>
                <w:color w:val="auto"/>
                <w:lang w:val="en-US" w:eastAsia="zh-CN"/>
              </w:rPr>
              <w:t>20</w:t>
            </w:r>
            <w:r>
              <w:rPr>
                <w:rFonts w:hint="eastAsia" w:ascii="Times New Roman" w:hAnsi="Times New Roman" w:eastAsia="宋体"/>
                <w:b/>
                <w:bCs/>
                <w:color w:val="auto"/>
              </w:rPr>
              <w:t>本项目无组织废气产生及排放状况一览表</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1356"/>
              <w:gridCol w:w="889"/>
              <w:gridCol w:w="928"/>
              <w:gridCol w:w="1159"/>
              <w:gridCol w:w="1044"/>
              <w:gridCol w:w="1039"/>
              <w:gridCol w:w="993"/>
              <w:gridCol w:w="12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rPr>
                    <w:t>污染源位置</w:t>
                  </w:r>
                </w:p>
              </w:tc>
              <w:tc>
                <w:tcPr>
                  <w:tcW w:w="709"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污染物名称</w:t>
                  </w:r>
                </w:p>
              </w:tc>
              <w:tc>
                <w:tcPr>
                  <w:tcW w:w="465" w:type="pct"/>
                  <w:vMerge w:val="restar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rPr>
                    <w:t>产生量t/a</w:t>
                  </w:r>
                </w:p>
              </w:tc>
              <w:tc>
                <w:tcPr>
                  <w:tcW w:w="485" w:type="pct"/>
                  <w:vMerge w:val="restar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rPr>
                    <w:t>产生速率kg/h</w:t>
                  </w:r>
                </w:p>
              </w:tc>
              <w:tc>
                <w:tcPr>
                  <w:tcW w:w="606"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处理措施</w:t>
                  </w:r>
                </w:p>
              </w:tc>
              <w:tc>
                <w:tcPr>
                  <w:tcW w:w="1608" w:type="pct"/>
                  <w:gridSpan w:val="3"/>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面源参数（m）</w:t>
                  </w:r>
                </w:p>
              </w:tc>
              <w:tc>
                <w:tcPr>
                  <w:tcW w:w="663"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周界浓度限值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709"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465"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485"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606"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546"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长度</w:t>
                  </w:r>
                </w:p>
              </w:tc>
              <w:tc>
                <w:tcPr>
                  <w:tcW w:w="54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宽度</w:t>
                  </w:r>
                </w:p>
              </w:tc>
              <w:tc>
                <w:tcPr>
                  <w:tcW w:w="51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高度</w:t>
                  </w:r>
                </w:p>
              </w:tc>
              <w:tc>
                <w:tcPr>
                  <w:tcW w:w="663"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rPr>
                    <w:t>生产厂房</w:t>
                  </w:r>
                </w:p>
              </w:tc>
              <w:tc>
                <w:tcPr>
                  <w:tcW w:w="709"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非甲烷总烃</w:t>
                  </w:r>
                </w:p>
              </w:tc>
              <w:tc>
                <w:tcPr>
                  <w:tcW w:w="465"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rPr>
                    <w:t>0.</w:t>
                  </w:r>
                  <w:r>
                    <w:rPr>
                      <w:rFonts w:hint="eastAsia" w:ascii="Times New Roman" w:hAnsi="Times New Roman" w:eastAsia="宋体"/>
                      <w:color w:val="auto"/>
                      <w:sz w:val="21"/>
                      <w:szCs w:val="21"/>
                      <w:lang w:val="en-US" w:eastAsia="zh-CN"/>
                    </w:rPr>
                    <w:t>010</w:t>
                  </w:r>
                </w:p>
              </w:tc>
              <w:tc>
                <w:tcPr>
                  <w:tcW w:w="485"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t>
                  </w:r>
                </w:p>
              </w:tc>
              <w:tc>
                <w:tcPr>
                  <w:tcW w:w="606"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车间通风</w:t>
                  </w:r>
                </w:p>
              </w:tc>
              <w:tc>
                <w:tcPr>
                  <w:tcW w:w="546" w:type="pct"/>
                  <w:vMerge w:val="restar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96</w:t>
                  </w:r>
                </w:p>
              </w:tc>
              <w:tc>
                <w:tcPr>
                  <w:tcW w:w="543" w:type="pct"/>
                  <w:vMerge w:val="restar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88</w:t>
                  </w:r>
                </w:p>
              </w:tc>
              <w:tc>
                <w:tcPr>
                  <w:tcW w:w="518" w:type="pct"/>
                  <w:vMerge w:val="restar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16</w:t>
                  </w:r>
                </w:p>
              </w:tc>
              <w:tc>
                <w:tcPr>
                  <w:tcW w:w="66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2</w:t>
                  </w:r>
                  <w:r>
                    <w:rPr>
                      <w:rFonts w:ascii="Times New Roman" w:hAnsi="Times New Roman" w:eastAsia="宋体"/>
                      <w:color w:val="auto"/>
                      <w:sz w:val="21"/>
                      <w:szCs w:val="21"/>
                    </w:rPr>
                    <w:t>.0</w:t>
                  </w:r>
                  <w:r>
                    <w:rPr>
                      <w:rFonts w:hint="eastAsia" w:ascii="Times New Roman" w:hAnsi="Times New Roman" w:eastAsia="宋体"/>
                      <w:color w:val="auto"/>
                      <w:sz w:val="21"/>
                      <w:szCs w:val="21"/>
                    </w:rPr>
                    <w:t>mg/m</w:t>
                  </w:r>
                  <w:r>
                    <w:rPr>
                      <w:rFonts w:hint="eastAsia" w:ascii="Times New Roman" w:hAnsi="Times New Roman" w:eastAsia="宋体"/>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709"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颗粒物</w:t>
                  </w:r>
                </w:p>
              </w:tc>
              <w:tc>
                <w:tcPr>
                  <w:tcW w:w="465"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1.033</w:t>
                  </w:r>
                </w:p>
              </w:tc>
              <w:tc>
                <w:tcPr>
                  <w:tcW w:w="485"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t>
                  </w:r>
                </w:p>
              </w:tc>
              <w:tc>
                <w:tcPr>
                  <w:tcW w:w="606"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546"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543"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518"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 w:val="21"/>
                      <w:szCs w:val="21"/>
                    </w:rPr>
                  </w:pPr>
                </w:p>
              </w:tc>
              <w:tc>
                <w:tcPr>
                  <w:tcW w:w="66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1.0</w:t>
                  </w:r>
                  <w:r>
                    <w:rPr>
                      <w:rFonts w:hint="eastAsia" w:ascii="Times New Roman" w:hAnsi="Times New Roman" w:eastAsia="宋体"/>
                      <w:color w:val="auto"/>
                      <w:sz w:val="21"/>
                      <w:szCs w:val="21"/>
                    </w:rPr>
                    <w:t>mg/m</w:t>
                  </w:r>
                  <w:r>
                    <w:rPr>
                      <w:rFonts w:hint="eastAsia" w:ascii="Times New Roman" w:hAnsi="Times New Roman" w:eastAsia="宋体"/>
                      <w:color w:val="auto"/>
                      <w:sz w:val="21"/>
                      <w:szCs w:val="21"/>
                      <w:vertAlign w:val="superscript"/>
                    </w:rPr>
                    <w:t>3</w:t>
                  </w:r>
                </w:p>
              </w:tc>
            </w:tr>
          </w:tbl>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3、废气排放口基本情况</w:t>
            </w:r>
          </w:p>
          <w:p>
            <w:pPr>
              <w:adjustRightInd w:val="0"/>
              <w:snapToGrid w:val="0"/>
              <w:jc w:val="center"/>
              <w:rPr>
                <w:rFonts w:hint="eastAsia" w:ascii="Times New Roman" w:hAnsi="Times New Roman" w:eastAsia="宋体"/>
                <w:b/>
                <w:bCs/>
                <w:color w:val="auto"/>
              </w:rPr>
            </w:pPr>
            <w:r>
              <w:rPr>
                <w:rFonts w:hint="eastAsia" w:ascii="Times New Roman" w:hAnsi="Times New Roman" w:eastAsia="宋体"/>
                <w:b/>
                <w:bCs/>
                <w:color w:val="auto"/>
              </w:rPr>
              <w:t>表</w:t>
            </w:r>
            <w:r>
              <w:rPr>
                <w:rFonts w:hint="eastAsia" w:ascii="Times New Roman" w:hAnsi="Times New Roman" w:eastAsia="宋体"/>
                <w:b/>
                <w:bCs/>
                <w:color w:val="auto"/>
                <w:lang w:val="en-US" w:eastAsia="zh-CN"/>
              </w:rPr>
              <w:t>21</w:t>
            </w:r>
            <w:r>
              <w:rPr>
                <w:rFonts w:hint="eastAsia" w:ascii="Times New Roman" w:hAnsi="Times New Roman" w:eastAsia="宋体"/>
                <w:b/>
                <w:bCs/>
                <w:color w:val="auto"/>
              </w:rPr>
              <w:t>本项目废气排放口基本情况表</w:t>
            </w:r>
          </w:p>
          <w:tbl>
            <w:tblPr>
              <w:tblStyle w:val="20"/>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948"/>
              <w:gridCol w:w="767"/>
              <w:gridCol w:w="866"/>
              <w:gridCol w:w="828"/>
              <w:gridCol w:w="1126"/>
              <w:gridCol w:w="1007"/>
              <w:gridCol w:w="1315"/>
              <w:gridCol w:w="797"/>
              <w:gridCol w:w="9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排气筒名称</w:t>
                  </w:r>
                </w:p>
              </w:tc>
              <w:tc>
                <w:tcPr>
                  <w:tcW w:w="496"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排气筒编号</w:t>
                  </w:r>
                </w:p>
              </w:tc>
              <w:tc>
                <w:tcPr>
                  <w:tcW w:w="1287" w:type="pct"/>
                  <w:gridSpan w:val="3"/>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排气筒基本情况</w:t>
                  </w:r>
                </w:p>
              </w:tc>
              <w:tc>
                <w:tcPr>
                  <w:tcW w:w="1116" w:type="pct"/>
                  <w:gridSpan w:val="2"/>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排气筒底部中心坐标</w:t>
                  </w:r>
                </w:p>
              </w:tc>
              <w:tc>
                <w:tcPr>
                  <w:tcW w:w="688"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污染防治设施名称及工艺</w:t>
                  </w:r>
                </w:p>
              </w:tc>
              <w:tc>
                <w:tcPr>
                  <w:tcW w:w="417"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是否为可行性技术</w:t>
                  </w:r>
                </w:p>
              </w:tc>
              <w:tc>
                <w:tcPr>
                  <w:tcW w:w="498" w:type="pct"/>
                  <w:vMerge w:val="restar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排放口类型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p>
              </w:tc>
              <w:tc>
                <w:tcPr>
                  <w:tcW w:w="496"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p>
              </w:tc>
              <w:tc>
                <w:tcPr>
                  <w:tcW w:w="401"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高度m</w:t>
                  </w:r>
                </w:p>
              </w:tc>
              <w:tc>
                <w:tcPr>
                  <w:tcW w:w="45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直径m</w:t>
                  </w:r>
                </w:p>
              </w:tc>
              <w:tc>
                <w:tcPr>
                  <w:tcW w:w="43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温度℃</w:t>
                  </w:r>
                </w:p>
              </w:tc>
              <w:tc>
                <w:tcPr>
                  <w:tcW w:w="589"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经度（E）</w:t>
                  </w:r>
                </w:p>
              </w:tc>
              <w:tc>
                <w:tcPr>
                  <w:tcW w:w="527"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纬度（N）</w:t>
                  </w:r>
                </w:p>
              </w:tc>
              <w:tc>
                <w:tcPr>
                  <w:tcW w:w="688"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p>
              </w:tc>
              <w:tc>
                <w:tcPr>
                  <w:tcW w:w="417"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p>
              </w:tc>
              <w:tc>
                <w:tcPr>
                  <w:tcW w:w="498" w:type="pct"/>
                  <w:vMerge w:val="continue"/>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494"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1</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496"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DA001</w:t>
                  </w:r>
                </w:p>
              </w:tc>
              <w:tc>
                <w:tcPr>
                  <w:tcW w:w="401"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15</w:t>
                  </w:r>
                </w:p>
              </w:tc>
              <w:tc>
                <w:tcPr>
                  <w:tcW w:w="45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0.5</w:t>
                  </w:r>
                </w:p>
              </w:tc>
              <w:tc>
                <w:tcPr>
                  <w:tcW w:w="43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25</w:t>
                  </w:r>
                </w:p>
              </w:tc>
              <w:tc>
                <w:tcPr>
                  <w:tcW w:w="589"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110.929468</w:t>
                  </w:r>
                </w:p>
              </w:tc>
              <w:tc>
                <w:tcPr>
                  <w:tcW w:w="527"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37.485947</w:t>
                  </w:r>
                </w:p>
              </w:tc>
              <w:tc>
                <w:tcPr>
                  <w:tcW w:w="688"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布袋除尘器</w:t>
                  </w:r>
                </w:p>
              </w:tc>
              <w:tc>
                <w:tcPr>
                  <w:tcW w:w="417"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是</w:t>
                  </w:r>
                </w:p>
              </w:tc>
              <w:tc>
                <w:tcPr>
                  <w:tcW w:w="49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lang w:val="en-US" w:eastAsia="zh-CN"/>
                    </w:rPr>
                    <w:t>2</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496"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DA001</w:t>
                  </w:r>
                </w:p>
              </w:tc>
              <w:tc>
                <w:tcPr>
                  <w:tcW w:w="401"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15</w:t>
                  </w:r>
                </w:p>
              </w:tc>
              <w:tc>
                <w:tcPr>
                  <w:tcW w:w="45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0.5</w:t>
                  </w:r>
                </w:p>
              </w:tc>
              <w:tc>
                <w:tcPr>
                  <w:tcW w:w="43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25</w:t>
                  </w:r>
                </w:p>
              </w:tc>
              <w:tc>
                <w:tcPr>
                  <w:tcW w:w="589"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110.929671</w:t>
                  </w:r>
                </w:p>
              </w:tc>
              <w:tc>
                <w:tcPr>
                  <w:tcW w:w="527"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37.485778</w:t>
                  </w:r>
                </w:p>
              </w:tc>
              <w:tc>
                <w:tcPr>
                  <w:tcW w:w="68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布袋除尘器</w:t>
                  </w:r>
                </w:p>
              </w:tc>
              <w:tc>
                <w:tcPr>
                  <w:tcW w:w="417"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是</w:t>
                  </w:r>
                </w:p>
              </w:tc>
              <w:tc>
                <w:tcPr>
                  <w:tcW w:w="49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496"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DA001</w:t>
                  </w:r>
                </w:p>
              </w:tc>
              <w:tc>
                <w:tcPr>
                  <w:tcW w:w="401"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15</w:t>
                  </w:r>
                </w:p>
              </w:tc>
              <w:tc>
                <w:tcPr>
                  <w:tcW w:w="45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0.5</w:t>
                  </w:r>
                </w:p>
              </w:tc>
              <w:tc>
                <w:tcPr>
                  <w:tcW w:w="433"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25</w:t>
                  </w:r>
                </w:p>
              </w:tc>
              <w:tc>
                <w:tcPr>
                  <w:tcW w:w="589"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110.929865</w:t>
                  </w:r>
                </w:p>
              </w:tc>
              <w:tc>
                <w:tcPr>
                  <w:tcW w:w="527"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37.488904</w:t>
                  </w:r>
                </w:p>
              </w:tc>
              <w:tc>
                <w:tcPr>
                  <w:tcW w:w="68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布袋除尘器</w:t>
                  </w:r>
                </w:p>
              </w:tc>
              <w:tc>
                <w:tcPr>
                  <w:tcW w:w="417"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是</w:t>
                  </w:r>
                </w:p>
              </w:tc>
              <w:tc>
                <w:tcPr>
                  <w:tcW w:w="49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lang w:val="en-US" w:eastAsia="zh-CN"/>
                    </w:rPr>
                    <w:t>4</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496"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DA002</w:t>
                  </w:r>
                </w:p>
              </w:tc>
              <w:tc>
                <w:tcPr>
                  <w:tcW w:w="401"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15</w:t>
                  </w:r>
                </w:p>
              </w:tc>
              <w:tc>
                <w:tcPr>
                  <w:tcW w:w="45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0.5</w:t>
                  </w:r>
                </w:p>
              </w:tc>
              <w:tc>
                <w:tcPr>
                  <w:tcW w:w="433" w:type="pct"/>
                  <w:tcBorders>
                    <w:tl2br w:val="nil"/>
                    <w:tr2bl w:val="nil"/>
                  </w:tcBorders>
                  <w:noWrap w:val="0"/>
                  <w:vAlign w:val="center"/>
                </w:tcPr>
                <w:p>
                  <w:pPr>
                    <w:adjustRightInd w:val="0"/>
                    <w:snapToGrid w:val="0"/>
                    <w:ind w:left="-105" w:leftChars="-50" w:right="-105" w:rightChars="-50"/>
                    <w:jc w:val="center"/>
                    <w:rPr>
                      <w:rFonts w:ascii="Times New Roman" w:hAnsi="Times New Roman" w:eastAsia="宋体"/>
                      <w:color w:val="auto"/>
                      <w:szCs w:val="21"/>
                    </w:rPr>
                  </w:pPr>
                  <w:r>
                    <w:rPr>
                      <w:rFonts w:hint="eastAsia" w:ascii="Times New Roman" w:hAnsi="Times New Roman" w:eastAsia="宋体"/>
                      <w:color w:val="auto"/>
                      <w:szCs w:val="21"/>
                    </w:rPr>
                    <w:t>25</w:t>
                  </w:r>
                </w:p>
              </w:tc>
              <w:tc>
                <w:tcPr>
                  <w:tcW w:w="589"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110.929881</w:t>
                  </w:r>
                </w:p>
              </w:tc>
              <w:tc>
                <w:tcPr>
                  <w:tcW w:w="527" w:type="pct"/>
                  <w:tcBorders>
                    <w:tl2br w:val="nil"/>
                    <w:tr2bl w:val="nil"/>
                  </w:tcBorders>
                  <w:noWrap w:val="0"/>
                  <w:vAlign w:val="center"/>
                </w:tcPr>
                <w:p>
                  <w:pPr>
                    <w:adjustRightInd w:val="0"/>
                    <w:snapToGrid w:val="0"/>
                    <w:ind w:left="-105" w:leftChars="-50" w:right="-105" w:rightChars="-5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37.485810</w:t>
                  </w:r>
                </w:p>
              </w:tc>
              <w:tc>
                <w:tcPr>
                  <w:tcW w:w="68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default" w:ascii="Times New Roman" w:hAnsi="Times New Roman" w:eastAsia="宋体" w:cs="Times New Roman"/>
                      <w:color w:val="auto"/>
                      <w:lang w:val="en-US" w:eastAsia="zh-CN"/>
                    </w:rPr>
                    <w:t>干式过滤+活性炭吸附/脱附+催化燃烧</w:t>
                  </w:r>
                </w:p>
              </w:tc>
              <w:tc>
                <w:tcPr>
                  <w:tcW w:w="417"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是</w:t>
                  </w:r>
                </w:p>
              </w:tc>
              <w:tc>
                <w:tcPr>
                  <w:tcW w:w="498" w:type="pct"/>
                  <w:tcBorders>
                    <w:tl2br w:val="nil"/>
                    <w:tr2bl w:val="nil"/>
                  </w:tcBorders>
                  <w:noWrap w:val="0"/>
                  <w:vAlign w:val="center"/>
                </w:tcPr>
                <w:p>
                  <w:pPr>
                    <w:adjustRightInd w:val="0"/>
                    <w:snapToGrid w:val="0"/>
                    <w:ind w:left="-105" w:leftChars="-50" w:right="-105" w:rightChars="-50"/>
                    <w:jc w:val="center"/>
                    <w:rPr>
                      <w:rFonts w:hint="eastAsia" w:ascii="Times New Roman" w:hAnsi="Times New Roman" w:eastAsia="宋体"/>
                      <w:color w:val="auto"/>
                      <w:szCs w:val="21"/>
                    </w:rPr>
                  </w:pPr>
                  <w:r>
                    <w:rPr>
                      <w:rFonts w:hint="eastAsia" w:ascii="Times New Roman" w:hAnsi="Times New Roman" w:eastAsia="宋体"/>
                      <w:color w:val="auto"/>
                      <w:szCs w:val="21"/>
                    </w:rPr>
                    <w:t>一般排放口</w:t>
                  </w:r>
                </w:p>
              </w:tc>
            </w:tr>
          </w:tbl>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4、废气监测计划</w:t>
            </w:r>
          </w:p>
          <w:p>
            <w:pPr>
              <w:snapToGrid w:val="0"/>
              <w:spacing w:line="480" w:lineRule="exact"/>
              <w:ind w:firstLine="480" w:firstLineChars="200"/>
              <w:rPr>
                <w:rFonts w:hint="eastAsia"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根据《排污单位自行监测技术指南总则》（HJ819-2017）确定监测指标、监测频次，具体见下表22、23。</w:t>
            </w:r>
          </w:p>
          <w:p>
            <w:pPr>
              <w:widowControl/>
              <w:adjustRightInd w:val="0"/>
              <w:snapToGrid w:val="0"/>
              <w:spacing w:line="480" w:lineRule="exact"/>
              <w:jc w:val="center"/>
              <w:rPr>
                <w:rFonts w:hint="eastAsia" w:ascii="Times New Roman" w:hAnsi="Times New Roman" w:eastAsia="宋体" w:cs="Times New Roman"/>
                <w:b/>
                <w:bCs w:val="0"/>
                <w:snapToGrid w:val="0"/>
                <w:color w:val="auto"/>
                <w:kern w:val="0"/>
                <w:szCs w:val="21"/>
              </w:rPr>
            </w:pPr>
            <w:r>
              <w:rPr>
                <w:rFonts w:hint="eastAsia" w:ascii="Times New Roman" w:hAnsi="Times New Roman" w:eastAsia="宋体" w:cs="Times New Roman"/>
                <w:b/>
                <w:bCs w:val="0"/>
                <w:snapToGrid w:val="0"/>
                <w:color w:val="auto"/>
                <w:kern w:val="0"/>
                <w:szCs w:val="21"/>
              </w:rPr>
              <w:t>表</w:t>
            </w:r>
            <w:r>
              <w:rPr>
                <w:rFonts w:hint="eastAsia" w:ascii="Times New Roman" w:hAnsi="Times New Roman" w:eastAsia="宋体" w:cs="Times New Roman"/>
                <w:b/>
                <w:bCs w:val="0"/>
                <w:snapToGrid w:val="0"/>
                <w:color w:val="auto"/>
                <w:kern w:val="0"/>
                <w:szCs w:val="21"/>
                <w:lang w:val="en-US" w:eastAsia="zh-CN"/>
              </w:rPr>
              <w:t>22</w:t>
            </w:r>
            <w:r>
              <w:rPr>
                <w:rFonts w:hint="eastAsia" w:ascii="Times New Roman" w:hAnsi="Times New Roman" w:eastAsia="宋体" w:cs="Times New Roman"/>
                <w:b/>
                <w:bCs w:val="0"/>
                <w:snapToGrid w:val="0"/>
                <w:color w:val="auto"/>
                <w:kern w:val="0"/>
                <w:szCs w:val="21"/>
              </w:rPr>
              <w:t>污染源监测计划表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444"/>
              <w:gridCol w:w="2814"/>
              <w:gridCol w:w="1284"/>
              <w:gridCol w:w="1129"/>
              <w:gridCol w:w="1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6"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种类</w:t>
                  </w:r>
                </w:p>
              </w:tc>
              <w:tc>
                <w:tcPr>
                  <w:tcW w:w="75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监测点位</w:t>
                  </w:r>
                </w:p>
              </w:tc>
              <w:tc>
                <w:tcPr>
                  <w:tcW w:w="1468"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监测项目</w:t>
                  </w:r>
                </w:p>
              </w:tc>
              <w:tc>
                <w:tcPr>
                  <w:tcW w:w="67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排放口类型</w:t>
                  </w:r>
                </w:p>
              </w:tc>
              <w:tc>
                <w:tcPr>
                  <w:tcW w:w="589"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监测频次</w:t>
                  </w:r>
                </w:p>
              </w:tc>
              <w:tc>
                <w:tcPr>
                  <w:tcW w:w="1002" w:type="pct"/>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6" w:type="pct"/>
                  <w:vMerge w:val="restar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废气</w:t>
                  </w:r>
                </w:p>
              </w:tc>
              <w:tc>
                <w:tcPr>
                  <w:tcW w:w="75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1</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1468"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rPr>
                    <w:t>颗粒物</w:t>
                  </w:r>
                </w:p>
              </w:tc>
              <w:tc>
                <w:tcPr>
                  <w:tcW w:w="67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一般排放口</w:t>
                  </w:r>
                </w:p>
              </w:tc>
              <w:tc>
                <w:tcPr>
                  <w:tcW w:w="589"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1次/年</w:t>
                  </w:r>
                </w:p>
              </w:tc>
              <w:tc>
                <w:tcPr>
                  <w:tcW w:w="1002" w:type="pct"/>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简化管理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1438"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lang w:val="en-US" w:eastAsia="zh-CN"/>
                    </w:rPr>
                    <w:t>2</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2804"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rPr>
                    <w:t>颗粒物</w:t>
                  </w:r>
                </w:p>
              </w:tc>
              <w:tc>
                <w:tcPr>
                  <w:tcW w:w="1280" w:type="dxa"/>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一般排放口</w:t>
                  </w:r>
                </w:p>
              </w:tc>
              <w:tc>
                <w:tcPr>
                  <w:tcW w:w="1125" w:type="dxa"/>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1次/年</w:t>
                  </w:r>
                </w:p>
              </w:tc>
              <w:tc>
                <w:tcPr>
                  <w:tcW w:w="1914" w:type="dxa"/>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简化管理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1438"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lang w:val="en-US" w:eastAsia="zh-CN"/>
                    </w:rPr>
                    <w:t>3</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2804"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rPr>
                    <w:t>颗粒物</w:t>
                  </w:r>
                </w:p>
              </w:tc>
              <w:tc>
                <w:tcPr>
                  <w:tcW w:w="1280" w:type="dxa"/>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一般排放口</w:t>
                  </w:r>
                </w:p>
              </w:tc>
              <w:tc>
                <w:tcPr>
                  <w:tcW w:w="1125" w:type="dxa"/>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1次/年</w:t>
                  </w:r>
                </w:p>
              </w:tc>
              <w:tc>
                <w:tcPr>
                  <w:tcW w:w="1914" w:type="dxa"/>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简化管理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753"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lang w:val="en-US" w:eastAsia="zh-CN"/>
                    </w:rPr>
                    <w:t>4</w:t>
                  </w:r>
                  <w:r>
                    <w:rPr>
                      <w:rFonts w:hint="eastAsia" w:ascii="Times New Roman" w:hAnsi="Times New Roman" w:eastAsia="宋体"/>
                      <w:color w:val="auto"/>
                      <w:szCs w:val="21"/>
                      <w:vertAlign w:val="superscript"/>
                    </w:rPr>
                    <w:t>#</w:t>
                  </w:r>
                  <w:r>
                    <w:rPr>
                      <w:rFonts w:ascii="Times New Roman" w:hAnsi="Times New Roman" w:eastAsia="宋体"/>
                      <w:color w:val="auto"/>
                      <w:szCs w:val="21"/>
                    </w:rPr>
                    <w:t>排气筒</w:t>
                  </w:r>
                </w:p>
              </w:tc>
              <w:tc>
                <w:tcPr>
                  <w:tcW w:w="1468"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rPr>
                    <w:t>非甲烷总烃、颗粒物</w:t>
                  </w:r>
                </w:p>
              </w:tc>
              <w:tc>
                <w:tcPr>
                  <w:tcW w:w="67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一般排放口</w:t>
                  </w:r>
                </w:p>
              </w:tc>
              <w:tc>
                <w:tcPr>
                  <w:tcW w:w="589"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1次/年</w:t>
                  </w:r>
                </w:p>
              </w:tc>
              <w:tc>
                <w:tcPr>
                  <w:tcW w:w="1002" w:type="pct"/>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简化管理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6" w:type="pct"/>
                  <w:vMerge w:val="continue"/>
                  <w:tcBorders>
                    <w:tl2br w:val="nil"/>
                    <w:tr2bl w:val="nil"/>
                  </w:tcBorders>
                  <w:noWrap w:val="0"/>
                  <w:vAlign w:val="center"/>
                </w:tcPr>
                <w:p>
                  <w:pPr>
                    <w:widowControl/>
                    <w:jc w:val="left"/>
                    <w:rPr>
                      <w:rFonts w:ascii="Times New Roman" w:hAnsi="Times New Roman" w:eastAsia="宋体"/>
                      <w:color w:val="auto"/>
                      <w:szCs w:val="21"/>
                    </w:rPr>
                  </w:pPr>
                </w:p>
              </w:tc>
              <w:tc>
                <w:tcPr>
                  <w:tcW w:w="753" w:type="pct"/>
                  <w:tcBorders>
                    <w:tl2br w:val="nil"/>
                    <w:tr2bl w:val="nil"/>
                  </w:tcBorders>
                  <w:noWrap w:val="0"/>
                  <w:tcMar>
                    <w:top w:w="0" w:type="dxa"/>
                    <w:left w:w="0" w:type="dxa"/>
                    <w:bottom w:w="0" w:type="dxa"/>
                    <w:right w:w="0" w:type="dxa"/>
                  </w:tcMar>
                  <w:vAlign w:val="center"/>
                </w:tcPr>
                <w:p>
                  <w:pPr>
                    <w:pStyle w:val="66"/>
                    <w:rPr>
                      <w:rFonts w:ascii="Times New Roman" w:hAnsi="Times New Roman" w:eastAsia="宋体"/>
                      <w:color w:val="auto"/>
                      <w:sz w:val="21"/>
                    </w:rPr>
                  </w:pPr>
                  <w:r>
                    <w:rPr>
                      <w:rFonts w:ascii="Times New Roman" w:hAnsi="Times New Roman" w:eastAsia="宋体"/>
                      <w:color w:val="auto"/>
                      <w:sz w:val="21"/>
                    </w:rPr>
                    <w:t>厂界</w:t>
                  </w:r>
                </w:p>
              </w:tc>
              <w:tc>
                <w:tcPr>
                  <w:tcW w:w="1468"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非甲烷总烃、颗粒物</w:t>
                  </w:r>
                </w:p>
              </w:tc>
              <w:tc>
                <w:tcPr>
                  <w:tcW w:w="67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w:t>
                  </w:r>
                </w:p>
              </w:tc>
              <w:tc>
                <w:tcPr>
                  <w:tcW w:w="589"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1次/年</w:t>
                  </w:r>
                </w:p>
              </w:tc>
              <w:tc>
                <w:tcPr>
                  <w:tcW w:w="1002" w:type="pct"/>
                  <w:tcBorders>
                    <w:tl2br w:val="nil"/>
                    <w:tr2bl w:val="nil"/>
                  </w:tcBorders>
                  <w:noWrap w:val="0"/>
                  <w:vAlign w:val="center"/>
                </w:tcPr>
                <w:p>
                  <w:pPr>
                    <w:jc w:val="center"/>
                    <w:rPr>
                      <w:rFonts w:ascii="Times New Roman" w:hAnsi="Times New Roman" w:eastAsia="宋体"/>
                      <w:color w:val="auto"/>
                      <w:szCs w:val="21"/>
                    </w:rPr>
                  </w:pPr>
                  <w:r>
                    <w:rPr>
                      <w:rFonts w:ascii="Times New Roman" w:hAnsi="Times New Roman" w:eastAsia="宋体"/>
                      <w:color w:val="auto"/>
                      <w:szCs w:val="21"/>
                    </w:rPr>
                    <w:t>简化管理</w:t>
                  </w:r>
                </w:p>
              </w:tc>
            </w:tr>
          </w:tbl>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bookmarkStart w:id="0" w:name="_Ref47271365"/>
            <w:r>
              <w:rPr>
                <w:rFonts w:hint="eastAsia" w:ascii="Times New Roman" w:hAnsi="Times New Roman" w:eastAsia="宋体" w:cs="Times New Roman"/>
                <w:b/>
                <w:bCs w:val="0"/>
                <w:snapToGrid w:val="0"/>
                <w:color w:val="auto"/>
                <w:kern w:val="0"/>
                <w:szCs w:val="21"/>
              </w:rPr>
              <w:t>表</w:t>
            </w:r>
            <w:bookmarkEnd w:id="0"/>
            <w:r>
              <w:rPr>
                <w:rFonts w:hint="eastAsia" w:ascii="Times New Roman" w:hAnsi="Times New Roman" w:eastAsia="宋体" w:cs="Times New Roman"/>
                <w:b/>
                <w:bCs w:val="0"/>
                <w:snapToGrid w:val="0"/>
                <w:color w:val="auto"/>
                <w:kern w:val="0"/>
                <w:szCs w:val="21"/>
                <w:lang w:val="en-US" w:eastAsia="zh-CN"/>
              </w:rPr>
              <w:t>23</w:t>
            </w:r>
            <w:r>
              <w:rPr>
                <w:rFonts w:hint="eastAsia" w:ascii="Times New Roman" w:hAnsi="Times New Roman" w:eastAsia="宋体" w:cs="Times New Roman"/>
                <w:b/>
                <w:bCs w:val="0"/>
                <w:snapToGrid w:val="0"/>
                <w:color w:val="auto"/>
                <w:kern w:val="0"/>
                <w:szCs w:val="21"/>
              </w:rPr>
              <w:t>验收监测计划表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3"/>
              <w:gridCol w:w="1851"/>
              <w:gridCol w:w="2881"/>
              <w:gridCol w:w="1342"/>
              <w:gridCol w:w="1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tblHeader/>
                <w:jc w:val="center"/>
              </w:trPr>
              <w:tc>
                <w:tcPr>
                  <w:tcW w:w="87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种类</w:t>
                  </w:r>
                </w:p>
              </w:tc>
              <w:tc>
                <w:tcPr>
                  <w:tcW w:w="966"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监测点位</w:t>
                  </w:r>
                </w:p>
              </w:tc>
              <w:tc>
                <w:tcPr>
                  <w:tcW w:w="150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监测项目</w:t>
                  </w:r>
                </w:p>
              </w:tc>
              <w:tc>
                <w:tcPr>
                  <w:tcW w:w="70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点位数</w:t>
                  </w:r>
                </w:p>
              </w:tc>
              <w:tc>
                <w:tcPr>
                  <w:tcW w:w="956"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73" w:type="pct"/>
                  <w:vMerge w:val="restar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废气</w:t>
                  </w:r>
                </w:p>
              </w:tc>
              <w:tc>
                <w:tcPr>
                  <w:tcW w:w="1845" w:type="dxa"/>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1</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150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颗粒物</w:t>
                  </w:r>
                </w:p>
              </w:tc>
              <w:tc>
                <w:tcPr>
                  <w:tcW w:w="700"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lang w:eastAsia="zh-CN"/>
                    </w:rPr>
                  </w:pPr>
                  <w:r>
                    <w:rPr>
                      <w:rFonts w:hint="eastAsia" w:ascii="Times New Roman" w:hAnsi="Times New Roman" w:eastAsia="宋体"/>
                      <w:color w:val="auto"/>
                      <w:szCs w:val="21"/>
                      <w:lang w:val="en-US" w:eastAsia="zh-CN"/>
                    </w:rPr>
                    <w:t>进出口</w:t>
                  </w:r>
                </w:p>
              </w:tc>
              <w:tc>
                <w:tcPr>
                  <w:tcW w:w="956" w:type="pct"/>
                  <w:vMerge w:val="restar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连续2天</w:t>
                  </w:r>
                </w:p>
                <w:p>
                  <w:pPr>
                    <w:jc w:val="center"/>
                    <w:rPr>
                      <w:rFonts w:ascii="Times New Roman" w:hAnsi="Times New Roman" w:eastAsia="宋体"/>
                      <w:color w:val="auto"/>
                      <w:szCs w:val="21"/>
                    </w:rPr>
                  </w:pPr>
                  <w:r>
                    <w:rPr>
                      <w:rFonts w:ascii="Times New Roman" w:hAnsi="Times New Roman" w:eastAsia="宋体"/>
                      <w:color w:val="auto"/>
                      <w:szCs w:val="21"/>
                    </w:rPr>
                    <w:t>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73"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1845"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2</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1503"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rPr>
                    <w:t>颗粒物</w:t>
                  </w:r>
                </w:p>
              </w:tc>
              <w:tc>
                <w:tcPr>
                  <w:tcW w:w="700"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进出口</w:t>
                  </w:r>
                </w:p>
              </w:tc>
              <w:tc>
                <w:tcPr>
                  <w:tcW w:w="95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873"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1845"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lang w:val="en-US" w:eastAsia="zh-CN"/>
                    </w:rPr>
                    <w:t>3</w:t>
                  </w:r>
                  <w:r>
                    <w:rPr>
                      <w:rFonts w:hint="eastAsia" w:ascii="Times New Roman" w:hAnsi="Times New Roman" w:eastAsia="宋体"/>
                      <w:color w:val="auto"/>
                      <w:szCs w:val="21"/>
                      <w:vertAlign w:val="superscript"/>
                    </w:rPr>
                    <w:t>#</w:t>
                  </w:r>
                  <w:r>
                    <w:rPr>
                      <w:rFonts w:hint="eastAsia" w:ascii="Times New Roman" w:hAnsi="Times New Roman" w:eastAsia="宋体"/>
                      <w:color w:val="auto"/>
                      <w:szCs w:val="21"/>
                    </w:rPr>
                    <w:t>排气筒</w:t>
                  </w:r>
                </w:p>
              </w:tc>
              <w:tc>
                <w:tcPr>
                  <w:tcW w:w="2870"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rPr>
                  </w:pPr>
                  <w:r>
                    <w:rPr>
                      <w:rFonts w:hint="eastAsia" w:ascii="Times New Roman" w:hAnsi="Times New Roman" w:eastAsia="宋体"/>
                      <w:color w:val="auto"/>
                      <w:szCs w:val="21"/>
                    </w:rPr>
                    <w:t>颗粒物</w:t>
                  </w:r>
                </w:p>
              </w:tc>
              <w:tc>
                <w:tcPr>
                  <w:tcW w:w="1337"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进出口</w:t>
                  </w:r>
                </w:p>
              </w:tc>
              <w:tc>
                <w:tcPr>
                  <w:tcW w:w="95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873"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c>
                <w:tcPr>
                  <w:tcW w:w="1845" w:type="dxa"/>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4</w:t>
                  </w:r>
                  <w:r>
                    <w:rPr>
                      <w:rFonts w:hint="eastAsia" w:ascii="Times New Roman" w:hAnsi="Times New Roman" w:eastAsia="宋体"/>
                      <w:color w:val="auto"/>
                      <w:szCs w:val="21"/>
                      <w:vertAlign w:val="superscript"/>
                    </w:rPr>
                    <w:t>#</w:t>
                  </w:r>
                  <w:r>
                    <w:rPr>
                      <w:rFonts w:ascii="Times New Roman" w:hAnsi="Times New Roman" w:eastAsia="宋体"/>
                      <w:color w:val="auto"/>
                      <w:szCs w:val="21"/>
                    </w:rPr>
                    <w:t>排气筒</w:t>
                  </w:r>
                </w:p>
              </w:tc>
              <w:tc>
                <w:tcPr>
                  <w:tcW w:w="1503"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rPr>
                    <w:t>非甲烷总烃、颗粒物</w:t>
                  </w:r>
                </w:p>
              </w:tc>
              <w:tc>
                <w:tcPr>
                  <w:tcW w:w="700" w:type="pct"/>
                  <w:tcBorders>
                    <w:tl2br w:val="nil"/>
                    <w:tr2bl w:val="nil"/>
                  </w:tcBorders>
                  <w:noWrap w:val="0"/>
                  <w:tcMar>
                    <w:top w:w="0" w:type="dxa"/>
                    <w:left w:w="0" w:type="dxa"/>
                    <w:bottom w:w="0" w:type="dxa"/>
                    <w:right w:w="0" w:type="dxa"/>
                  </w:tcMar>
                  <w:vAlign w:val="center"/>
                </w:tcPr>
                <w:p>
                  <w:pPr>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进出口</w:t>
                  </w:r>
                </w:p>
              </w:tc>
              <w:tc>
                <w:tcPr>
                  <w:tcW w:w="956" w:type="pct"/>
                  <w:vMerge w:val="continue"/>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73" w:type="pct"/>
                  <w:vMerge w:val="continue"/>
                  <w:tcBorders>
                    <w:tl2br w:val="nil"/>
                    <w:tr2bl w:val="nil"/>
                  </w:tcBorders>
                  <w:noWrap w:val="0"/>
                  <w:vAlign w:val="center"/>
                </w:tcPr>
                <w:p>
                  <w:pPr>
                    <w:widowControl/>
                    <w:jc w:val="left"/>
                    <w:rPr>
                      <w:rFonts w:ascii="Times New Roman" w:hAnsi="Times New Roman" w:eastAsia="宋体"/>
                      <w:color w:val="auto"/>
                      <w:szCs w:val="21"/>
                    </w:rPr>
                  </w:pPr>
                </w:p>
              </w:tc>
              <w:tc>
                <w:tcPr>
                  <w:tcW w:w="966" w:type="pct"/>
                  <w:tcBorders>
                    <w:tl2br w:val="nil"/>
                    <w:tr2bl w:val="nil"/>
                  </w:tcBorders>
                  <w:noWrap w:val="0"/>
                  <w:tcMar>
                    <w:top w:w="0" w:type="dxa"/>
                    <w:left w:w="0" w:type="dxa"/>
                    <w:bottom w:w="0" w:type="dxa"/>
                    <w:right w:w="0" w:type="dxa"/>
                  </w:tcMar>
                  <w:vAlign w:val="center"/>
                </w:tcPr>
                <w:p>
                  <w:pPr>
                    <w:pStyle w:val="66"/>
                    <w:rPr>
                      <w:rFonts w:ascii="Times New Roman" w:hAnsi="Times New Roman" w:eastAsia="宋体"/>
                      <w:color w:val="auto"/>
                      <w:sz w:val="21"/>
                    </w:rPr>
                  </w:pPr>
                  <w:r>
                    <w:rPr>
                      <w:rFonts w:ascii="Times New Roman" w:hAnsi="Times New Roman" w:eastAsia="宋体"/>
                      <w:color w:val="auto"/>
                      <w:sz w:val="21"/>
                    </w:rPr>
                    <w:t>厂界</w:t>
                  </w:r>
                </w:p>
              </w:tc>
              <w:tc>
                <w:tcPr>
                  <w:tcW w:w="150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非甲烷总烃、颗粒物</w:t>
                  </w:r>
                </w:p>
              </w:tc>
              <w:tc>
                <w:tcPr>
                  <w:tcW w:w="700"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4</w:t>
                  </w:r>
                </w:p>
              </w:tc>
              <w:tc>
                <w:tcPr>
                  <w:tcW w:w="956" w:type="pct"/>
                  <w:vMerge w:val="continue"/>
                  <w:tcBorders>
                    <w:tl2br w:val="nil"/>
                    <w:tr2bl w:val="nil"/>
                  </w:tcBorders>
                  <w:noWrap w:val="0"/>
                  <w:vAlign w:val="center"/>
                </w:tcPr>
                <w:p>
                  <w:pPr>
                    <w:widowControl/>
                    <w:jc w:val="left"/>
                    <w:rPr>
                      <w:rFonts w:ascii="Times New Roman" w:hAnsi="Times New Roman" w:eastAsia="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73" w:type="pct"/>
                  <w:tcBorders>
                    <w:tl2br w:val="nil"/>
                    <w:tr2bl w:val="nil"/>
                  </w:tcBorders>
                  <w:noWrap w:val="0"/>
                  <w:tcMar>
                    <w:top w:w="0" w:type="dxa"/>
                    <w:left w:w="0" w:type="dxa"/>
                    <w:bottom w:w="0" w:type="dxa"/>
                    <w:right w:w="0" w:type="dxa"/>
                  </w:tcMar>
                  <w:vAlign w:val="center"/>
                </w:tcPr>
                <w:p>
                  <w:pPr>
                    <w:jc w:val="center"/>
                    <w:rPr>
                      <w:rFonts w:ascii="Times New Roman" w:hAnsi="Times New Roman" w:eastAsia="宋体"/>
                      <w:color w:val="auto"/>
                      <w:szCs w:val="21"/>
                    </w:rPr>
                  </w:pPr>
                  <w:r>
                    <w:rPr>
                      <w:rFonts w:ascii="Times New Roman" w:hAnsi="Times New Roman" w:eastAsia="宋体"/>
                      <w:color w:val="auto"/>
                      <w:szCs w:val="21"/>
                    </w:rPr>
                    <w:t>注意事项</w:t>
                  </w:r>
                </w:p>
              </w:tc>
              <w:tc>
                <w:tcPr>
                  <w:tcW w:w="4126" w:type="pct"/>
                  <w:gridSpan w:val="4"/>
                  <w:tcBorders>
                    <w:tl2br w:val="nil"/>
                    <w:tr2bl w:val="nil"/>
                  </w:tcBorders>
                  <w:noWrap w:val="0"/>
                  <w:tcMar>
                    <w:top w:w="0" w:type="dxa"/>
                    <w:left w:w="0" w:type="dxa"/>
                    <w:bottom w:w="0" w:type="dxa"/>
                    <w:right w:w="0" w:type="dxa"/>
                  </w:tcMar>
                  <w:vAlign w:val="center"/>
                </w:tcPr>
                <w:p>
                  <w:pPr>
                    <w:rPr>
                      <w:rFonts w:ascii="Times New Roman" w:hAnsi="Times New Roman" w:eastAsia="宋体"/>
                      <w:color w:val="auto"/>
                      <w:szCs w:val="21"/>
                    </w:rPr>
                  </w:pPr>
                  <w:r>
                    <w:rPr>
                      <w:rFonts w:ascii="Times New Roman" w:hAnsi="Times New Roman" w:eastAsia="宋体"/>
                      <w:color w:val="auto"/>
                      <w:szCs w:val="21"/>
                    </w:rPr>
                    <w:t>列出监测期间天气状况、风向、风速、气温、湿度、大气压。</w:t>
                  </w:r>
                </w:p>
              </w:tc>
            </w:tr>
          </w:tbl>
          <w:p>
            <w:pPr>
              <w:autoSpaceDE w:val="0"/>
              <w:autoSpaceDN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评价结论</w:t>
            </w:r>
          </w:p>
          <w:p>
            <w:pPr>
              <w:autoSpaceDE w:val="0"/>
              <w:autoSpaceDN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柳林县2020年环境空气质量例行监测资料可知，本项目所在区域属于环境空气质量不达标区，通过工程分析可知，本次评价针对产排污环节均提出了可行的污染治理措施，污染物均可稳定达标排放，故本项目正常工况下不会加重其所在区域环境空气受污染程度；且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500</w:t>
            </w:r>
            <w:r>
              <w:rPr>
                <w:rFonts w:ascii="Times New Roman" w:hAnsi="Times New Roman" w:eastAsia="宋体" w:cs="Times New Roman"/>
                <w:color w:val="auto"/>
                <w:sz w:val="24"/>
                <w:szCs w:val="24"/>
                <w:lang w:val="zh-CN"/>
              </w:rPr>
              <w:t>m范围内无</w:t>
            </w:r>
            <w:r>
              <w:rPr>
                <w:rFonts w:ascii="Times New Roman" w:hAnsi="Times New Roman" w:eastAsia="宋体" w:cs="Times New Roman"/>
                <w:color w:val="auto"/>
                <w:sz w:val="24"/>
                <w:szCs w:val="24"/>
              </w:rPr>
              <w:t>自然保护区、风景名胜区、居住区、文化区和农村地区中人群较集中的区域等大气环境保护目标，故本项目正常工况下影响范围内不涉及大气环境敏感目标。</w:t>
            </w:r>
          </w:p>
          <w:p>
            <w:pPr>
              <w:autoSpaceDE w:val="0"/>
              <w:autoSpaceDN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二</w:t>
            </w:r>
            <w:r>
              <w:rPr>
                <w:rFonts w:ascii="Times New Roman" w:hAnsi="Times New Roman" w:eastAsia="宋体" w:cs="Times New Roman"/>
                <w:color w:val="auto"/>
                <w:sz w:val="24"/>
                <w:szCs w:val="24"/>
              </w:rPr>
              <w:t>、废水</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主要污染物产生及预计排放情况</w:t>
            </w:r>
          </w:p>
          <w:p>
            <w:pPr>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lang w:val="en-US" w:eastAsia="zh-CN"/>
              </w:rPr>
              <w:t>（1）</w:t>
            </w:r>
            <w:r>
              <w:rPr>
                <w:rFonts w:ascii="Times New Roman" w:hAnsi="Times New Roman" w:eastAsia="宋体" w:cs="Times New Roman"/>
                <w:color w:val="auto"/>
                <w:sz w:val="24"/>
              </w:rPr>
              <w:t>生活污水：本项目生活用水量为</w:t>
            </w:r>
            <w:r>
              <w:rPr>
                <w:rFonts w:hint="eastAsia" w:ascii="Times New Roman" w:hAnsi="Times New Roman" w:eastAsia="宋体" w:cs="Times New Roman"/>
                <w:color w:val="auto"/>
                <w:sz w:val="24"/>
                <w:lang w:val="en-US" w:eastAsia="zh-CN"/>
              </w:rPr>
              <w:t>3.5</w:t>
            </w:r>
            <w:r>
              <w:rPr>
                <w:rFonts w:ascii="Times New Roman" w:hAnsi="Times New Roman" w:eastAsia="宋体" w:cs="Times New Roman"/>
                <w:color w:val="auto"/>
                <w:sz w:val="24"/>
              </w:rPr>
              <w:t>m³/d（10</w:t>
            </w:r>
            <w:r>
              <w:rPr>
                <w:rFonts w:hint="eastAsia" w:ascii="Times New Roman" w:hAnsi="Times New Roman" w:eastAsia="宋体" w:cs="Times New Roman"/>
                <w:color w:val="auto"/>
                <w:sz w:val="24"/>
                <w:lang w:val="en-US" w:eastAsia="zh-CN"/>
              </w:rPr>
              <w:t>5</w:t>
            </w:r>
            <w:r>
              <w:rPr>
                <w:rFonts w:ascii="Times New Roman" w:hAnsi="Times New Roman" w:eastAsia="宋体" w:cs="Times New Roman"/>
                <w:color w:val="auto"/>
                <w:sz w:val="24"/>
              </w:rPr>
              <w:t>0m³/a），污水产生系数按0.8计，则生活污水产生量为</w:t>
            </w:r>
            <w:r>
              <w:rPr>
                <w:rFonts w:hint="eastAsia" w:ascii="Times New Roman" w:hAnsi="Times New Roman" w:eastAsia="宋体" w:cs="Times New Roman"/>
                <w:color w:val="auto"/>
                <w:sz w:val="24"/>
                <w:lang w:val="en-US" w:eastAsia="zh-CN"/>
              </w:rPr>
              <w:t>2.8</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val="en-US" w:eastAsia="zh-CN"/>
              </w:rPr>
              <w:t>840</w:t>
            </w:r>
            <w:r>
              <w:rPr>
                <w:rFonts w:ascii="Times New Roman" w:hAnsi="Times New Roman" w:eastAsia="宋体" w:cs="Times New Roman"/>
                <w:color w:val="auto"/>
                <w:sz w:val="24"/>
              </w:rPr>
              <w:t>m³/a）。</w:t>
            </w:r>
          </w:p>
          <w:p>
            <w:pPr>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rPr>
              <w:t>生产废水</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支架、车间冲洗</w:t>
            </w:r>
            <w:r>
              <w:rPr>
                <w:rFonts w:ascii="Times New Roman" w:hAnsi="Times New Roman" w:eastAsia="宋体" w:cs="Times New Roman"/>
                <w:color w:val="auto"/>
                <w:sz w:val="24"/>
              </w:rPr>
              <w:t>用水量为</w:t>
            </w:r>
            <w:r>
              <w:rPr>
                <w:rFonts w:hint="eastAsia" w:ascii="Times New Roman" w:hAnsi="Times New Roman" w:eastAsia="宋体" w:cs="Times New Roman"/>
                <w:color w:val="auto"/>
                <w:sz w:val="24"/>
                <w:lang w:val="en-US" w:eastAsia="zh-CN"/>
              </w:rPr>
              <w:t>15</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其中14.25</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val="en-US" w:eastAsia="zh-CN"/>
              </w:rPr>
              <w:t>为循环用水，0.75</w:t>
            </w:r>
            <w:r>
              <w:rPr>
                <w:rFonts w:ascii="Times New Roman" w:hAnsi="Times New Roman" w:eastAsia="宋体" w:cs="Times New Roman"/>
                <w:color w:val="auto"/>
                <w:sz w:val="24"/>
              </w:rPr>
              <w:t>m³/d</w:t>
            </w:r>
            <w:r>
              <w:rPr>
                <w:rFonts w:hint="eastAsia" w:ascii="Times New Roman" w:hAnsi="Times New Roman" w:eastAsia="宋体" w:cs="Times New Roman"/>
                <w:color w:val="auto"/>
                <w:sz w:val="24"/>
                <w:lang w:val="en-US" w:eastAsia="zh-CN"/>
              </w:rPr>
              <w:t>为新鲜补充水</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225</w:t>
            </w:r>
            <w:r>
              <w:rPr>
                <w:rFonts w:ascii="Times New Roman" w:hAnsi="Times New Roman" w:eastAsia="宋体" w:cs="Times New Roman"/>
                <w:color w:val="auto"/>
                <w:sz w:val="24"/>
              </w:rPr>
              <w:t>m³/a），污水产生系数按0.9计，则清洗废水产生量为</w:t>
            </w:r>
            <w:r>
              <w:rPr>
                <w:rFonts w:hint="eastAsia" w:ascii="Times New Roman" w:hAnsi="Times New Roman" w:eastAsia="宋体" w:cs="Times New Roman"/>
                <w:color w:val="auto"/>
                <w:sz w:val="24"/>
                <w:lang w:val="en-US" w:eastAsia="zh-CN"/>
              </w:rPr>
              <w:t>14.25</w:t>
            </w:r>
            <w:r>
              <w:rPr>
                <w:rFonts w:ascii="Times New Roman" w:hAnsi="Times New Roman" w:eastAsia="宋体" w:cs="Times New Roman"/>
                <w:color w:val="auto"/>
                <w:sz w:val="24"/>
              </w:rPr>
              <w:t>m³/d（4</w:t>
            </w:r>
            <w:r>
              <w:rPr>
                <w:rFonts w:hint="eastAsia" w:ascii="Times New Roman" w:hAnsi="Times New Roman" w:eastAsia="宋体" w:cs="Times New Roman"/>
                <w:color w:val="auto"/>
                <w:sz w:val="24"/>
                <w:lang w:val="en-US" w:eastAsia="zh-CN"/>
              </w:rPr>
              <w:t>275</w:t>
            </w:r>
            <w:r>
              <w:rPr>
                <w:rFonts w:ascii="Times New Roman" w:hAnsi="Times New Roman" w:eastAsia="宋体" w:cs="Times New Roman"/>
                <w:color w:val="auto"/>
                <w:sz w:val="24"/>
              </w:rPr>
              <w:t>m³/a）。</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rPr>
              <w:t>排放口基本情况</w:t>
            </w:r>
          </w:p>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r>
              <w:rPr>
                <w:rFonts w:ascii="Times New Roman" w:hAnsi="Times New Roman" w:eastAsia="宋体" w:cs="Times New Roman"/>
                <w:b/>
                <w:bCs w:val="0"/>
                <w:snapToGrid w:val="0"/>
                <w:color w:val="auto"/>
                <w:kern w:val="0"/>
                <w:szCs w:val="21"/>
              </w:rPr>
              <w:t>表2</w:t>
            </w:r>
            <w:r>
              <w:rPr>
                <w:rFonts w:hint="eastAsia" w:ascii="Times New Roman" w:hAnsi="Times New Roman" w:eastAsia="宋体" w:cs="Times New Roman"/>
                <w:b/>
                <w:bCs w:val="0"/>
                <w:snapToGrid w:val="0"/>
                <w:color w:val="auto"/>
                <w:kern w:val="0"/>
                <w:szCs w:val="21"/>
                <w:lang w:val="en-US" w:eastAsia="zh-CN"/>
              </w:rPr>
              <w:t>4</w:t>
            </w:r>
            <w:r>
              <w:rPr>
                <w:rFonts w:ascii="Times New Roman" w:hAnsi="Times New Roman" w:eastAsia="宋体" w:cs="Times New Roman"/>
                <w:b/>
                <w:bCs w:val="0"/>
                <w:snapToGrid w:val="0"/>
                <w:color w:val="auto"/>
                <w:kern w:val="0"/>
                <w:szCs w:val="21"/>
              </w:rPr>
              <w:t>排放口基本情况一览表</w:t>
            </w:r>
          </w:p>
          <w:tbl>
            <w:tblPr>
              <w:tblStyle w:val="20"/>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59"/>
              <w:gridCol w:w="646"/>
              <w:gridCol w:w="874"/>
              <w:gridCol w:w="851"/>
              <w:gridCol w:w="1069"/>
              <w:gridCol w:w="847"/>
              <w:gridCol w:w="646"/>
              <w:gridCol w:w="3509"/>
              <w:gridCol w:w="6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9"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序号</w:t>
                  </w:r>
                </w:p>
              </w:tc>
              <w:tc>
                <w:tcPr>
                  <w:tcW w:w="646"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废水类别</w:t>
                  </w:r>
                </w:p>
              </w:tc>
              <w:tc>
                <w:tcPr>
                  <w:tcW w:w="874"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排放口编号</w:t>
                  </w:r>
                </w:p>
              </w:tc>
              <w:tc>
                <w:tcPr>
                  <w:tcW w:w="851"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排放口名称</w:t>
                  </w:r>
                </w:p>
              </w:tc>
              <w:tc>
                <w:tcPr>
                  <w:tcW w:w="1069"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排放口</w:t>
                  </w:r>
                </w:p>
                <w:p>
                  <w:pPr>
                    <w:pStyle w:val="55"/>
                    <w:jc w:val="center"/>
                    <w:rPr>
                      <w:rFonts w:ascii="Times New Roman" w:hAnsi="Times New Roman" w:eastAsia="宋体"/>
                      <w:color w:val="auto"/>
                      <w:szCs w:val="21"/>
                    </w:rPr>
                  </w:pPr>
                  <w:r>
                    <w:rPr>
                      <w:rFonts w:ascii="Times New Roman" w:hAnsi="Times New Roman" w:eastAsia="宋体"/>
                      <w:color w:val="auto"/>
                      <w:szCs w:val="21"/>
                    </w:rPr>
                    <w:t>地理坐标</w:t>
                  </w:r>
                </w:p>
              </w:tc>
              <w:tc>
                <w:tcPr>
                  <w:tcW w:w="847"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排放口类型</w:t>
                  </w:r>
                </w:p>
              </w:tc>
              <w:tc>
                <w:tcPr>
                  <w:tcW w:w="646"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排放规律</w:t>
                  </w:r>
                </w:p>
              </w:tc>
              <w:tc>
                <w:tcPr>
                  <w:tcW w:w="3509"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排放去向</w:t>
                  </w:r>
                </w:p>
              </w:tc>
              <w:tc>
                <w:tcPr>
                  <w:tcW w:w="680"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9"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1</w:t>
                  </w:r>
                </w:p>
              </w:tc>
              <w:tc>
                <w:tcPr>
                  <w:tcW w:w="646"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生活污水</w:t>
                  </w:r>
                </w:p>
              </w:tc>
              <w:tc>
                <w:tcPr>
                  <w:tcW w:w="874"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c>
                <w:tcPr>
                  <w:tcW w:w="851"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c>
                <w:tcPr>
                  <w:tcW w:w="1069"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c>
                <w:tcPr>
                  <w:tcW w:w="847"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c>
                <w:tcPr>
                  <w:tcW w:w="646"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c>
                <w:tcPr>
                  <w:tcW w:w="3509" w:type="dxa"/>
                  <w:vAlign w:val="center"/>
                </w:tcPr>
                <w:p>
                  <w:pPr>
                    <w:pStyle w:val="55"/>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生活污水主要是洗漱废水，经沉淀池收集</w:t>
                  </w:r>
                  <w:r>
                    <w:rPr>
                      <w:rFonts w:hint="eastAsia" w:ascii="Times New Roman" w:hAnsi="Times New Roman" w:eastAsia="宋体" w:cs="Times New Roman"/>
                      <w:color w:val="auto"/>
                      <w:szCs w:val="21"/>
                    </w:rPr>
                    <w:t>后回用</w:t>
                  </w:r>
                  <w:r>
                    <w:rPr>
                      <w:rFonts w:hint="eastAsia" w:ascii="Times New Roman" w:hAnsi="Times New Roman" w:eastAsia="宋体" w:cs="Times New Roman"/>
                      <w:color w:val="auto"/>
                      <w:szCs w:val="21"/>
                      <w:lang w:val="en-US" w:eastAsia="zh-CN"/>
                    </w:rPr>
                    <w:t>于绿化、道路洒水</w:t>
                  </w:r>
                </w:p>
              </w:tc>
              <w:tc>
                <w:tcPr>
                  <w:tcW w:w="680"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jc w:val="center"/>
              </w:trPr>
              <w:tc>
                <w:tcPr>
                  <w:tcW w:w="459"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2</w:t>
                  </w:r>
                </w:p>
              </w:tc>
              <w:tc>
                <w:tcPr>
                  <w:tcW w:w="646"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生产废水</w:t>
                  </w:r>
                </w:p>
              </w:tc>
              <w:tc>
                <w:tcPr>
                  <w:tcW w:w="874"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w:t>
                  </w:r>
                </w:p>
              </w:tc>
              <w:tc>
                <w:tcPr>
                  <w:tcW w:w="851"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w:t>
                  </w:r>
                </w:p>
              </w:tc>
              <w:tc>
                <w:tcPr>
                  <w:tcW w:w="1069"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w:t>
                  </w:r>
                </w:p>
              </w:tc>
              <w:tc>
                <w:tcPr>
                  <w:tcW w:w="847"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w:t>
                  </w:r>
                </w:p>
              </w:tc>
              <w:tc>
                <w:tcPr>
                  <w:tcW w:w="646" w:type="dxa"/>
                  <w:vAlign w:val="center"/>
                </w:tcPr>
                <w:p>
                  <w:pPr>
                    <w:pStyle w:val="55"/>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szCs w:val="21"/>
                    </w:rPr>
                    <w:t>/</w:t>
                  </w:r>
                </w:p>
              </w:tc>
              <w:tc>
                <w:tcPr>
                  <w:tcW w:w="3509" w:type="dxa"/>
                  <w:vAlign w:val="center"/>
                </w:tcPr>
                <w:p>
                  <w:pPr>
                    <w:pStyle w:val="55"/>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rPr>
                    <w:t>进入含油废水处理系统，工艺主要为加药絮凝沉淀，处理后回用</w:t>
                  </w:r>
                  <w:r>
                    <w:rPr>
                      <w:rFonts w:hint="eastAsia" w:ascii="Times New Roman" w:hAnsi="Times New Roman" w:eastAsia="宋体" w:cs="Times New Roman"/>
                      <w:color w:val="auto"/>
                      <w:szCs w:val="21"/>
                      <w:lang w:val="en-US" w:eastAsia="zh-CN"/>
                    </w:rPr>
                    <w:t>于设备冲洗，不外排</w:t>
                  </w:r>
                </w:p>
              </w:tc>
              <w:tc>
                <w:tcPr>
                  <w:tcW w:w="680" w:type="dxa"/>
                  <w:vAlign w:val="center"/>
                </w:tcPr>
                <w:p>
                  <w:pPr>
                    <w:pStyle w:val="55"/>
                    <w:jc w:val="center"/>
                    <w:rPr>
                      <w:rFonts w:ascii="Times New Roman" w:hAnsi="Times New Roman" w:eastAsia="宋体"/>
                      <w:color w:val="auto"/>
                      <w:szCs w:val="21"/>
                    </w:rPr>
                  </w:pPr>
                  <w:r>
                    <w:rPr>
                      <w:rFonts w:ascii="Times New Roman" w:hAnsi="Times New Roman" w:eastAsia="宋体"/>
                      <w:color w:val="auto"/>
                      <w:szCs w:val="21"/>
                    </w:rPr>
                    <w:t>/</w:t>
                  </w:r>
                </w:p>
              </w:tc>
            </w:tr>
          </w:tbl>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3、</w:t>
            </w:r>
            <w:r>
              <w:rPr>
                <w:rFonts w:ascii="Times New Roman" w:hAnsi="Times New Roman" w:eastAsia="宋体" w:cs="Times New Roman"/>
                <w:color w:val="auto"/>
                <w:sz w:val="24"/>
                <w:szCs w:val="24"/>
              </w:rPr>
              <w:t>废水不外排保证性</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本项目废水为生活废水、生产废水。</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lang w:val="en-US" w:eastAsia="zh-CN"/>
              </w:rPr>
              <w:t>生活污水主要是洗漱废水，经沉淀池收集</w:t>
            </w:r>
            <w:r>
              <w:rPr>
                <w:rFonts w:hint="eastAsia" w:ascii="Times New Roman" w:hAnsi="Times New Roman" w:eastAsia="宋体" w:cs="Times New Roman"/>
                <w:color w:val="auto"/>
                <w:sz w:val="24"/>
              </w:rPr>
              <w:t>后回用</w:t>
            </w:r>
            <w:r>
              <w:rPr>
                <w:rFonts w:hint="eastAsia" w:ascii="Times New Roman" w:hAnsi="Times New Roman" w:eastAsia="宋体" w:cs="Times New Roman"/>
                <w:color w:val="auto"/>
                <w:sz w:val="24"/>
                <w:lang w:val="en-US" w:eastAsia="zh-CN"/>
              </w:rPr>
              <w:t>于绿化、道路洒水</w:t>
            </w:r>
            <w:r>
              <w:rPr>
                <w:rFonts w:ascii="Times New Roman" w:hAnsi="Times New Roman" w:eastAsia="宋体" w:cs="Times New Roman"/>
                <w:color w:val="auto"/>
                <w:sz w:val="24"/>
                <w:szCs w:val="24"/>
              </w:rPr>
              <w:t>，不向外环境排放。厂区设</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0m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的</w:t>
            </w:r>
            <w:r>
              <w:rPr>
                <w:rFonts w:hint="eastAsia" w:ascii="Times New Roman" w:hAnsi="Times New Roman" w:eastAsia="宋体" w:cs="Times New Roman"/>
                <w:color w:val="auto"/>
                <w:sz w:val="24"/>
                <w:szCs w:val="24"/>
                <w:lang w:val="en-US" w:eastAsia="zh-CN"/>
              </w:rPr>
              <w:t>沉淀池</w:t>
            </w:r>
            <w:r>
              <w:rPr>
                <w:rFonts w:ascii="Times New Roman" w:hAnsi="Times New Roman" w:eastAsia="宋体" w:cs="Times New Roman"/>
                <w:color w:val="auto"/>
                <w:sz w:val="24"/>
                <w:szCs w:val="24"/>
              </w:rPr>
              <w:t>。保证</w:t>
            </w:r>
            <w:r>
              <w:rPr>
                <w:rFonts w:hint="eastAsia" w:ascii="Times New Roman" w:hAnsi="Times New Roman" w:eastAsia="宋体" w:cs="Times New Roman"/>
                <w:color w:val="auto"/>
                <w:sz w:val="24"/>
                <w:szCs w:val="24"/>
                <w:lang w:val="en-US" w:eastAsia="zh-CN"/>
              </w:rPr>
              <w:t>生活污水</w:t>
            </w:r>
            <w:r>
              <w:rPr>
                <w:rFonts w:ascii="Times New Roman" w:hAnsi="Times New Roman" w:eastAsia="宋体" w:cs="Times New Roman"/>
                <w:color w:val="auto"/>
                <w:sz w:val="24"/>
                <w:szCs w:val="24"/>
              </w:rPr>
              <w:t>不外排。</w:t>
            </w:r>
          </w:p>
          <w:p>
            <w:pPr>
              <w:adjustRightInd w:val="0"/>
              <w:snapToGrid w:val="0"/>
              <w:spacing w:line="480" w:lineRule="exact"/>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生产废水</w:t>
            </w:r>
            <w:r>
              <w:rPr>
                <w:rFonts w:hint="eastAsia" w:ascii="Times New Roman" w:hAnsi="Times New Roman" w:eastAsia="宋体" w:cs="Times New Roman"/>
                <w:color w:val="auto"/>
                <w:sz w:val="24"/>
                <w:szCs w:val="24"/>
              </w:rPr>
              <w:t>进入含油废水处理系统，工艺主要为加药絮凝沉淀，处理后回用</w:t>
            </w:r>
            <w:r>
              <w:rPr>
                <w:rFonts w:hint="eastAsia" w:ascii="Times New Roman" w:hAnsi="Times New Roman" w:eastAsia="宋体" w:cs="Times New Roman"/>
                <w:color w:val="auto"/>
                <w:sz w:val="24"/>
                <w:szCs w:val="24"/>
                <w:lang w:val="en-US" w:eastAsia="zh-CN"/>
              </w:rPr>
              <w:t>于设备冲洗，不外排。</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综上所述，本项目产生的废水不外排具有保证性。</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4、</w:t>
            </w:r>
            <w:r>
              <w:rPr>
                <w:rFonts w:ascii="Times New Roman" w:hAnsi="Times New Roman" w:eastAsia="宋体" w:cs="Times New Roman"/>
                <w:color w:val="auto"/>
                <w:sz w:val="24"/>
                <w:szCs w:val="24"/>
              </w:rPr>
              <w:t>监测要求</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通过工程分析可知，本项目无废水排放口，故本次评价未制定相关环境监测计划。</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评价结论</w:t>
            </w:r>
          </w:p>
          <w:p>
            <w:pPr>
              <w:adjustRightInd w:val="0"/>
              <w:snapToGrid w:val="0"/>
              <w:spacing w:line="48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szCs w:val="24"/>
              </w:rPr>
              <w:t>本项目运营期严格执行上述水污染控制和水环境影响减缓措施后，可保证全厂区内无废水排放，不会对评价范围内地表水环境造成影响。从环境保护的角度分析，本工程对周围地表水环境影响较小。建设单位在认真落实本评价提出的各项环保措施后，项目建设对周围的地表水环境影响是可以接受的</w:t>
            </w:r>
            <w:r>
              <w:rPr>
                <w:rFonts w:ascii="Times New Roman" w:hAnsi="Times New Roman" w:eastAsia="宋体" w:cs="Times New Roman"/>
                <w:color w:val="auto"/>
                <w:sz w:val="24"/>
              </w:rPr>
              <w:t>。</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三</w:t>
            </w:r>
            <w:r>
              <w:rPr>
                <w:rFonts w:ascii="Times New Roman" w:hAnsi="Times New Roman" w:eastAsia="宋体" w:cs="Times New Roman"/>
                <w:color w:val="auto"/>
                <w:sz w:val="24"/>
                <w:szCs w:val="24"/>
              </w:rPr>
              <w:t>、噪声</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噪声源相关参数</w:t>
            </w:r>
          </w:p>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r>
              <w:rPr>
                <w:rFonts w:ascii="Times New Roman" w:hAnsi="Times New Roman" w:eastAsia="宋体" w:cs="Times New Roman"/>
                <w:b/>
                <w:bCs w:val="0"/>
                <w:snapToGrid w:val="0"/>
                <w:color w:val="auto"/>
                <w:kern w:val="0"/>
                <w:szCs w:val="21"/>
              </w:rPr>
              <w:t>表2</w:t>
            </w:r>
            <w:r>
              <w:rPr>
                <w:rFonts w:hint="eastAsia" w:ascii="Times New Roman" w:hAnsi="Times New Roman" w:eastAsia="宋体" w:cs="Times New Roman"/>
                <w:b/>
                <w:bCs w:val="0"/>
                <w:snapToGrid w:val="0"/>
                <w:color w:val="auto"/>
                <w:kern w:val="0"/>
                <w:szCs w:val="21"/>
                <w:lang w:val="en-US" w:eastAsia="zh-CN"/>
              </w:rPr>
              <w:t>5</w:t>
            </w:r>
            <w:r>
              <w:rPr>
                <w:rFonts w:ascii="Times New Roman" w:hAnsi="Times New Roman" w:eastAsia="宋体" w:cs="Times New Roman"/>
                <w:b/>
                <w:bCs w:val="0"/>
                <w:snapToGrid w:val="0"/>
                <w:color w:val="auto"/>
                <w:kern w:val="0"/>
                <w:szCs w:val="21"/>
              </w:rPr>
              <w:t>噪声源相关参数一览表</w:t>
            </w:r>
          </w:p>
          <w:tbl>
            <w:tblPr>
              <w:tblStyle w:val="20"/>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2349"/>
              <w:gridCol w:w="619"/>
              <w:gridCol w:w="1463"/>
              <w:gridCol w:w="1237"/>
              <w:gridCol w:w="1256"/>
              <w:gridCol w:w="1097"/>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1"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序号</w:t>
                  </w:r>
                </w:p>
              </w:tc>
              <w:tc>
                <w:tcPr>
                  <w:tcW w:w="2349"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噪声源名称</w:t>
                  </w:r>
                </w:p>
              </w:tc>
              <w:tc>
                <w:tcPr>
                  <w:tcW w:w="619"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数量</w:t>
                  </w:r>
                </w:p>
              </w:tc>
              <w:tc>
                <w:tcPr>
                  <w:tcW w:w="1463"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噪声级</w:t>
                  </w:r>
                </w:p>
              </w:tc>
              <w:tc>
                <w:tcPr>
                  <w:tcW w:w="1237"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安装位置</w:t>
                  </w:r>
                </w:p>
              </w:tc>
              <w:tc>
                <w:tcPr>
                  <w:tcW w:w="1256"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声源类型</w:t>
                  </w:r>
                </w:p>
              </w:tc>
              <w:tc>
                <w:tcPr>
                  <w:tcW w:w="1097"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频率特性</w:t>
                  </w:r>
                </w:p>
              </w:tc>
              <w:tc>
                <w:tcPr>
                  <w:tcW w:w="1079"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作用时段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234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清洗</w:t>
                  </w:r>
                  <w:r>
                    <w:rPr>
                      <w:rFonts w:ascii="Times New Roman" w:hAnsi="Times New Roman" w:eastAsia="宋体"/>
                      <w:color w:val="auto"/>
                      <w:kern w:val="0"/>
                      <w:szCs w:val="21"/>
                    </w:rPr>
                    <w:t>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lang w:val="zh-CN"/>
                    </w:rPr>
                  </w:pPr>
                  <w:r>
                    <w:rPr>
                      <w:rFonts w:hint="eastAsia" w:ascii="Times New Roman" w:hAnsi="Times New Roman" w:eastAsia="宋体"/>
                      <w:color w:val="auto"/>
                      <w:kern w:val="0"/>
                      <w:szCs w:val="21"/>
                    </w:rPr>
                    <w:t>5</w:t>
                  </w:r>
                </w:p>
              </w:tc>
              <w:tc>
                <w:tcPr>
                  <w:tcW w:w="1463"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highlight w:val="green"/>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w:t>
                  </w:r>
                </w:p>
              </w:tc>
              <w:tc>
                <w:tcPr>
                  <w:tcW w:w="234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电焊机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lang w:val="zh-CN"/>
                    </w:rPr>
                  </w:pPr>
                  <w:r>
                    <w:rPr>
                      <w:rFonts w:hint="eastAsia" w:ascii="Times New Roman" w:hAnsi="Times New Roman" w:eastAsia="宋体"/>
                      <w:color w:val="auto"/>
                      <w:kern w:val="0"/>
                      <w:szCs w:val="21"/>
                    </w:rPr>
                    <w:t>4</w:t>
                  </w:r>
                </w:p>
              </w:tc>
              <w:tc>
                <w:tcPr>
                  <w:tcW w:w="1463"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rPr>
                    <w:t>80~90dB（A）</w:t>
                  </w:r>
                </w:p>
              </w:tc>
              <w:tc>
                <w:tcPr>
                  <w:tcW w:w="1237" w:type="dxa"/>
                  <w:vAlign w:val="center"/>
                </w:tcPr>
                <w:p>
                  <w:pPr>
                    <w:adjustRightInd w:val="0"/>
                    <w:jc w:val="center"/>
                    <w:rPr>
                      <w:rFonts w:ascii="Times New Roman" w:hAnsi="Times New Roman" w:eastAsia="宋体" w:cs="Times New Roman"/>
                      <w:color w:val="auto"/>
                      <w:szCs w:val="21"/>
                      <w:highlight w:val="green"/>
                      <w:lang w:val="zh-CN"/>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胶管切管机</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75~85dB（A）</w:t>
                  </w:r>
                </w:p>
              </w:tc>
              <w:tc>
                <w:tcPr>
                  <w:tcW w:w="1237" w:type="dxa"/>
                  <w:vAlign w:val="center"/>
                </w:tcPr>
                <w:p>
                  <w:pPr>
                    <w:adjustRightInd w:val="0"/>
                    <w:jc w:val="center"/>
                    <w:rPr>
                      <w:rFonts w:ascii="Times New Roman" w:hAnsi="Times New Roman" w:eastAsia="宋体" w:cs="Times New Roman"/>
                      <w:color w:val="auto"/>
                      <w:szCs w:val="21"/>
                      <w:highlight w:val="green"/>
                      <w:lang w:val="zh-CN"/>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胶管扣压机</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highlight w:val="green"/>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胶管剥皮机</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支架油缸千斤顶拆卸机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80~90dB（A）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支架油缸千斤顶装柱机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75~85dB（A）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普通车床</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3</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摇臂钻床</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卧式铣镗床</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80~90dB（A）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便携式数控切割机</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75~85dB（A）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12</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锯床</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铲车</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立式升降台铣床</w:t>
                  </w:r>
                </w:p>
              </w:tc>
              <w:tc>
                <w:tcPr>
                  <w:tcW w:w="619" w:type="dxa"/>
                  <w:vAlign w:val="center"/>
                </w:tcPr>
                <w:p>
                  <w:pPr>
                    <w:widowControl/>
                    <w:autoSpaceDE w:val="0"/>
                    <w:autoSpaceDN w:val="0"/>
                    <w:adjustRightInd w:val="0"/>
                    <w:spacing w:line="340" w:lineRule="exact"/>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80~90dB（A）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15</w:t>
                  </w:r>
                </w:p>
              </w:tc>
              <w:tc>
                <w:tcPr>
                  <w:tcW w:w="2349" w:type="dxa"/>
                  <w:vAlign w:val="center"/>
                </w:tcPr>
                <w:p>
                  <w:pPr>
                    <w:spacing w:line="300" w:lineRule="exact"/>
                    <w:jc w:val="center"/>
                    <w:rPr>
                      <w:rFonts w:ascii="Times New Roman" w:hAnsi="Times New Roman" w:eastAsia="宋体" w:cs="Times New Roman"/>
                      <w:color w:val="auto"/>
                      <w:szCs w:val="21"/>
                    </w:rPr>
                  </w:pPr>
                  <w:r>
                    <w:rPr>
                      <w:rFonts w:ascii="Times New Roman" w:hAnsi="Times New Roman" w:eastAsia="宋体"/>
                      <w:color w:val="auto"/>
                      <w:kern w:val="0"/>
                      <w:szCs w:val="32"/>
                    </w:rPr>
                    <w:t>单柱试压机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1</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75~85dB（A）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w:t>
                  </w:r>
                </w:p>
              </w:tc>
              <w:tc>
                <w:tcPr>
                  <w:tcW w:w="234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ascii="Times New Roman" w:hAnsi="Times New Roman" w:eastAsia="宋体"/>
                      <w:color w:val="auto"/>
                      <w:kern w:val="0"/>
                      <w:szCs w:val="21"/>
                    </w:rPr>
                    <w:t>水泵</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2</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17</w:t>
                  </w:r>
                </w:p>
              </w:tc>
              <w:tc>
                <w:tcPr>
                  <w:tcW w:w="234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风机</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2</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18</w:t>
                  </w:r>
                </w:p>
              </w:tc>
              <w:tc>
                <w:tcPr>
                  <w:tcW w:w="234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乳化液</w:t>
                  </w:r>
                  <w:r>
                    <w:rPr>
                      <w:rFonts w:ascii="Times New Roman" w:hAnsi="Times New Roman" w:eastAsia="宋体"/>
                      <w:color w:val="auto"/>
                      <w:kern w:val="0"/>
                      <w:szCs w:val="21"/>
                    </w:rPr>
                    <w:t>泵</w:t>
                  </w:r>
                </w:p>
              </w:tc>
              <w:tc>
                <w:tcPr>
                  <w:tcW w:w="619" w:type="dxa"/>
                  <w:vAlign w:val="center"/>
                </w:tcPr>
                <w:p>
                  <w:pPr>
                    <w:widowControl/>
                    <w:autoSpaceDE w:val="0"/>
                    <w:autoSpaceDN w:val="0"/>
                    <w:adjustRightInd w:val="0"/>
                    <w:jc w:val="center"/>
                    <w:rPr>
                      <w:rFonts w:ascii="Times New Roman" w:hAnsi="Times New Roman" w:eastAsia="宋体" w:cs="Times New Roman"/>
                      <w:color w:val="auto"/>
                      <w:szCs w:val="21"/>
                    </w:rPr>
                  </w:pPr>
                  <w:r>
                    <w:rPr>
                      <w:rFonts w:hint="eastAsia" w:ascii="Times New Roman" w:hAnsi="Times New Roman" w:eastAsia="宋体"/>
                      <w:color w:val="auto"/>
                      <w:kern w:val="0"/>
                      <w:szCs w:val="21"/>
                    </w:rPr>
                    <w:t>5</w:t>
                  </w: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80~90dB（A）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19</w:t>
                  </w:r>
                </w:p>
              </w:tc>
              <w:tc>
                <w:tcPr>
                  <w:tcW w:w="2349" w:type="dxa"/>
                  <w:vAlign w:val="center"/>
                </w:tcPr>
                <w:p>
                  <w:pPr>
                    <w:widowControl/>
                    <w:autoSpaceDE w:val="0"/>
                    <w:autoSpaceDN w:val="0"/>
                    <w:adjustRightInd w:val="0"/>
                    <w:jc w:val="center"/>
                    <w:rPr>
                      <w:rFonts w:hint="eastAsia" w:ascii="Times New Roman" w:hAnsi="Times New Roman" w:eastAsia="宋体"/>
                      <w:color w:val="auto"/>
                      <w:kern w:val="0"/>
                      <w:szCs w:val="21"/>
                    </w:rPr>
                  </w:pPr>
                  <w:r>
                    <w:rPr>
                      <w:rFonts w:hint="eastAsia" w:ascii="Times New Roman" w:hAnsi="Times New Roman" w:eastAsia="宋体"/>
                      <w:color w:val="auto"/>
                      <w:kern w:val="0"/>
                      <w:szCs w:val="21"/>
                    </w:rPr>
                    <w:t>天车</w:t>
                  </w:r>
                </w:p>
              </w:tc>
              <w:tc>
                <w:tcPr>
                  <w:tcW w:w="619" w:type="dxa"/>
                  <w:vAlign w:val="center"/>
                </w:tcPr>
                <w:p>
                  <w:pPr>
                    <w:widowControl/>
                    <w:autoSpaceDE w:val="0"/>
                    <w:autoSpaceDN w:val="0"/>
                    <w:adjustRightInd w:val="0"/>
                    <w:jc w:val="center"/>
                    <w:rPr>
                      <w:rFonts w:hint="eastAsia" w:ascii="Times New Roman" w:hAnsi="Times New Roman" w:eastAsia="宋体"/>
                      <w:color w:val="auto"/>
                      <w:kern w:val="0"/>
                      <w:szCs w:val="21"/>
                    </w:rPr>
                  </w:pP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75~85dB（A）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1" w:type="dxa"/>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20</w:t>
                  </w:r>
                </w:p>
              </w:tc>
              <w:tc>
                <w:tcPr>
                  <w:tcW w:w="2349" w:type="dxa"/>
                  <w:vAlign w:val="center"/>
                </w:tcPr>
                <w:p>
                  <w:pPr>
                    <w:widowControl/>
                    <w:autoSpaceDE w:val="0"/>
                    <w:autoSpaceDN w:val="0"/>
                    <w:adjustRightInd w:val="0"/>
                    <w:jc w:val="center"/>
                    <w:rPr>
                      <w:rFonts w:hint="eastAsia" w:ascii="Times New Roman" w:hAnsi="Times New Roman" w:eastAsia="宋体"/>
                      <w:color w:val="auto"/>
                      <w:kern w:val="0"/>
                      <w:szCs w:val="21"/>
                    </w:rPr>
                  </w:pPr>
                  <w:r>
                    <w:rPr>
                      <w:rFonts w:hint="eastAsia" w:ascii="Times New Roman" w:hAnsi="Times New Roman" w:eastAsia="宋体"/>
                      <w:color w:val="auto"/>
                      <w:kern w:val="0"/>
                      <w:szCs w:val="21"/>
                    </w:rPr>
                    <w:t>气吊</w:t>
                  </w:r>
                </w:p>
              </w:tc>
              <w:tc>
                <w:tcPr>
                  <w:tcW w:w="619" w:type="dxa"/>
                  <w:vAlign w:val="center"/>
                </w:tcPr>
                <w:p>
                  <w:pPr>
                    <w:widowControl/>
                    <w:autoSpaceDE w:val="0"/>
                    <w:autoSpaceDN w:val="0"/>
                    <w:adjustRightInd w:val="0"/>
                    <w:jc w:val="center"/>
                    <w:rPr>
                      <w:rFonts w:hint="eastAsia" w:ascii="Times New Roman" w:hAnsi="Times New Roman" w:eastAsia="宋体"/>
                      <w:color w:val="auto"/>
                      <w:kern w:val="0"/>
                      <w:szCs w:val="21"/>
                    </w:rPr>
                  </w:pPr>
                </w:p>
              </w:tc>
              <w:tc>
                <w:tcPr>
                  <w:tcW w:w="1463"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85~95dB（A）</w:t>
                  </w:r>
                </w:p>
              </w:tc>
              <w:tc>
                <w:tcPr>
                  <w:tcW w:w="123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256"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室内声源</w:t>
                  </w:r>
                </w:p>
              </w:tc>
              <w:tc>
                <w:tcPr>
                  <w:tcW w:w="1097"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频发</w:t>
                  </w:r>
                </w:p>
              </w:tc>
              <w:tc>
                <w:tcPr>
                  <w:tcW w:w="1079" w:type="dxa"/>
                  <w:vAlign w:val="center"/>
                </w:tcPr>
                <w:p>
                  <w:pPr>
                    <w:adjustRightIn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r>
          </w:tbl>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rPr>
              <w:t>噪声防治措施及降噪效果：</w:t>
            </w:r>
          </w:p>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rPr>
              <w:t>①</w:t>
            </w:r>
            <w:r>
              <w:rPr>
                <w:rFonts w:ascii="Times New Roman" w:hAnsi="Times New Roman" w:eastAsia="宋体" w:cs="Times New Roman"/>
                <w:color w:val="auto"/>
                <w:sz w:val="24"/>
              </w:rPr>
              <w:t>设备选择：在满足生产工艺的前提下，优先选择低噪声设备或具有消音隔声装置的设备，从源头降低噪声；</w:t>
            </w:r>
          </w:p>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rPr>
              <w:t>②</w:t>
            </w:r>
            <w:r>
              <w:rPr>
                <w:rFonts w:ascii="Times New Roman" w:hAnsi="Times New Roman" w:eastAsia="宋体" w:cs="Times New Roman"/>
                <w:color w:val="auto"/>
                <w:sz w:val="24"/>
              </w:rPr>
              <w:t>设备布局：综合考虑地形、声源方向性和噪声强弱等因素，充分利用厂内建筑物的隔声作用合理布置设备；</w:t>
            </w:r>
          </w:p>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rPr>
              <w:t>③</w:t>
            </w:r>
            <w:r>
              <w:rPr>
                <w:rFonts w:ascii="Times New Roman" w:hAnsi="Times New Roman" w:eastAsia="宋体" w:cs="Times New Roman"/>
                <w:color w:val="auto"/>
                <w:sz w:val="24"/>
              </w:rPr>
              <w:t>设备安装：采取减震措施；</w:t>
            </w:r>
          </w:p>
          <w:p>
            <w:pPr>
              <w:adjustRightInd w:val="0"/>
              <w:snapToGrid w:val="0"/>
              <w:spacing w:line="480" w:lineRule="exact"/>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宋体"/>
                <w:color w:val="auto"/>
                <w:sz w:val="24"/>
              </w:rPr>
              <w:t>④</w:t>
            </w:r>
            <w:r>
              <w:rPr>
                <w:rFonts w:ascii="Times New Roman" w:hAnsi="Times New Roman" w:eastAsia="宋体" w:cs="Times New Roman"/>
                <w:color w:val="auto"/>
                <w:sz w:val="24"/>
              </w:rPr>
              <w:t>设备维护：定期维护设备，确保设备处于良好的运行状态，杜绝因设备不正常运转产生高噪声的现象</w:t>
            </w:r>
            <w:r>
              <w:rPr>
                <w:rFonts w:hint="eastAsia" w:ascii="Times New Roman" w:hAnsi="Times New Roman" w:eastAsia="宋体" w:cs="Times New Roman"/>
                <w:color w:val="auto"/>
                <w:sz w:val="24"/>
                <w:lang w:eastAsia="zh-CN"/>
              </w:rPr>
              <w:t>。</w:t>
            </w:r>
          </w:p>
          <w:p>
            <w:pPr>
              <w:adjustRightInd w:val="0"/>
              <w:snapToGrid w:val="0"/>
              <w:spacing w:line="48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采取上述措施后可降噪15~20dB（A）。</w:t>
            </w:r>
          </w:p>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3、</w:t>
            </w:r>
            <w:r>
              <w:rPr>
                <w:rFonts w:ascii="Times New Roman" w:hAnsi="Times New Roman" w:eastAsia="宋体" w:cs="Times New Roman"/>
                <w:color w:val="auto"/>
                <w:sz w:val="24"/>
              </w:rPr>
              <w:t>监测要求</w:t>
            </w:r>
          </w:p>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r>
              <w:rPr>
                <w:rFonts w:ascii="Times New Roman" w:hAnsi="Times New Roman" w:eastAsia="宋体" w:cs="Times New Roman"/>
                <w:b/>
                <w:bCs w:val="0"/>
                <w:snapToGrid w:val="0"/>
                <w:color w:val="auto"/>
                <w:kern w:val="0"/>
                <w:szCs w:val="21"/>
              </w:rPr>
              <w:t>表2</w:t>
            </w:r>
            <w:r>
              <w:rPr>
                <w:rFonts w:hint="eastAsia" w:ascii="Times New Roman" w:hAnsi="Times New Roman" w:eastAsia="宋体" w:cs="Times New Roman"/>
                <w:b/>
                <w:bCs w:val="0"/>
                <w:snapToGrid w:val="0"/>
                <w:color w:val="auto"/>
                <w:kern w:val="0"/>
                <w:szCs w:val="21"/>
                <w:lang w:val="en-US" w:eastAsia="zh-CN"/>
              </w:rPr>
              <w:t>6</w:t>
            </w:r>
            <w:r>
              <w:rPr>
                <w:rFonts w:ascii="Times New Roman" w:hAnsi="Times New Roman" w:eastAsia="宋体" w:cs="Times New Roman"/>
                <w:b/>
                <w:bCs w:val="0"/>
                <w:snapToGrid w:val="0"/>
                <w:color w:val="auto"/>
                <w:kern w:val="0"/>
                <w:szCs w:val="21"/>
              </w:rPr>
              <w:t>环境监测计划一览表</w:t>
            </w:r>
          </w:p>
          <w:tbl>
            <w:tblPr>
              <w:tblStyle w:val="20"/>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3"/>
              <w:gridCol w:w="3712"/>
              <w:gridCol w:w="2239"/>
              <w:gridCol w:w="2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3"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监测类别</w:t>
                  </w:r>
                </w:p>
              </w:tc>
              <w:tc>
                <w:tcPr>
                  <w:tcW w:w="3712"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监测点位</w:t>
                  </w:r>
                </w:p>
              </w:tc>
              <w:tc>
                <w:tcPr>
                  <w:tcW w:w="2239"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监测项目</w:t>
                  </w:r>
                </w:p>
              </w:tc>
              <w:tc>
                <w:tcPr>
                  <w:tcW w:w="2027"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603"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噪声</w:t>
                  </w:r>
                </w:p>
              </w:tc>
              <w:tc>
                <w:tcPr>
                  <w:tcW w:w="3712"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厂区边界四周各设置1个监测点位</w:t>
                  </w:r>
                </w:p>
              </w:tc>
              <w:tc>
                <w:tcPr>
                  <w:tcW w:w="2239"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position w:val="-14"/>
                      <w:szCs w:val="21"/>
                    </w:rPr>
                    <w:object>
                      <v:shape id="_x0000_i1025" o:spt="75" type="#_x0000_t75" style="height:14.25pt;width:14.25pt;" o:ole="t" filled="f" o:preferrelative="t" stroked="f" coordsize="21600,21600">
                        <v:path/>
                        <v:fill on="f" focussize="0,0"/>
                        <v:stroke on="f" joinstyle="miter"/>
                        <v:imagedata r:id="rId17" o:title=""/>
                        <o:lock v:ext="edit" aspectratio="t"/>
                        <w10:wrap type="none"/>
                        <w10:anchorlock/>
                      </v:shape>
                      <o:OLEObject Type="Embed" ProgID="Equation.3" ShapeID="_x0000_i1025" DrawAspect="Content" ObjectID="_1468075725" r:id="rId16">
                        <o:LockedField>false</o:LockedField>
                      </o:OLEObject>
                    </w:object>
                  </w:r>
                  <w:r>
                    <w:rPr>
                      <w:rFonts w:ascii="Times New Roman" w:hAnsi="Times New Roman" w:eastAsia="宋体" w:cs="Times New Roman"/>
                      <w:szCs w:val="21"/>
                    </w:rPr>
                    <w:t>、</w:t>
                  </w:r>
                  <w:r>
                    <w:rPr>
                      <w:rFonts w:ascii="Times New Roman" w:hAnsi="Times New Roman" w:eastAsia="宋体" w:cs="Times New Roman"/>
                      <w:position w:val="-12"/>
                      <w:szCs w:val="21"/>
                    </w:rPr>
                    <w:object>
                      <v:shape id="_x0000_i1026" o:spt="75" type="#_x0000_t75" style="height:14.25pt;width:14.25pt;" o:ole="t" filled="f" o:preferrelative="t" stroked="f" coordsize="21600,21600">
                        <v:path/>
                        <v:fill on="f" focussize="0,0"/>
                        <v:stroke on="f" joinstyle="miter"/>
                        <v:imagedata r:id="rId19" o:title=""/>
                        <o:lock v:ext="edit" aspectratio="t"/>
                        <w10:wrap type="none"/>
                        <w10:anchorlock/>
                      </v:shape>
                      <o:OLEObject Type="Embed" ProgID="Equation.3" ShapeID="_x0000_i1026" DrawAspect="Content" ObjectID="_1468075726" r:id="rId18">
                        <o:LockedField>false</o:LockedField>
                      </o:OLEObject>
                    </w:object>
                  </w:r>
                  <w:r>
                    <w:rPr>
                      <w:rFonts w:ascii="Times New Roman" w:hAnsi="Times New Roman" w:eastAsia="宋体" w:cs="Times New Roman"/>
                      <w:szCs w:val="21"/>
                    </w:rPr>
                    <w:t>、</w:t>
                  </w:r>
                  <w:r>
                    <w:rPr>
                      <w:rFonts w:ascii="Times New Roman" w:hAnsi="Times New Roman" w:eastAsia="宋体" w:cs="Times New Roman"/>
                      <w:position w:val="-12"/>
                      <w:szCs w:val="21"/>
                    </w:rPr>
                    <w:object>
                      <v:shape id="_x0000_i1027" o:spt="75" type="#_x0000_t75" style="height:14.25pt;width:14.25pt;" o:ole="t" filled="f" o:preferrelative="t" stroked="f" coordsize="21600,21600">
                        <v:path/>
                        <v:fill on="f" focussize="0,0"/>
                        <v:stroke on="f" joinstyle="miter"/>
                        <v:imagedata r:id="rId21" o:title=""/>
                        <o:lock v:ext="edit" aspectratio="t"/>
                        <w10:wrap type="none"/>
                        <w10:anchorlock/>
                      </v:shape>
                      <o:OLEObject Type="Embed" ProgID="Equation.3" ShapeID="_x0000_i1027" DrawAspect="Content" ObjectID="_1468075727" r:id="rId20">
                        <o:LockedField>false</o:LockedField>
                      </o:OLEObject>
                    </w:object>
                  </w:r>
                  <w:r>
                    <w:rPr>
                      <w:rFonts w:ascii="Times New Roman" w:hAnsi="Times New Roman" w:eastAsia="宋体" w:cs="Times New Roman"/>
                      <w:szCs w:val="21"/>
                    </w:rPr>
                    <w:t>、</w:t>
                  </w:r>
                  <w:r>
                    <w:rPr>
                      <w:rFonts w:ascii="Times New Roman" w:hAnsi="Times New Roman" w:eastAsia="宋体" w:cs="Times New Roman"/>
                      <w:position w:val="-12"/>
                      <w:szCs w:val="21"/>
                    </w:rPr>
                    <w:object>
                      <v:shape id="_x0000_i1028" o:spt="75" type="#_x0000_t75" style="height:14.25pt;width:14.25pt;" o:ole="t" filled="f" o:preferrelative="t" stroked="f" coordsize="21600,21600">
                        <v:path/>
                        <v:fill on="f" focussize="0,0"/>
                        <v:stroke on="f" joinstyle="miter"/>
                        <v:imagedata r:id="rId23" o:title=""/>
                        <o:lock v:ext="edit" aspectratio="t"/>
                        <w10:wrap type="none"/>
                        <w10:anchorlock/>
                      </v:shape>
                      <o:OLEObject Type="Embed" ProgID="Equation.3" ShapeID="_x0000_i1028" DrawAspect="Content" ObjectID="_1468075728" r:id="rId22">
                        <o:LockedField>false</o:LockedField>
                      </o:OLEObject>
                    </w:object>
                  </w:r>
                </w:p>
              </w:tc>
              <w:tc>
                <w:tcPr>
                  <w:tcW w:w="2027"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每季度1次</w:t>
                  </w:r>
                </w:p>
              </w:tc>
            </w:tr>
          </w:tbl>
          <w:p>
            <w:pPr>
              <w:widowControl/>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4、</w:t>
            </w:r>
            <w:r>
              <w:rPr>
                <w:rFonts w:ascii="Times New Roman" w:hAnsi="Times New Roman" w:eastAsia="宋体" w:cs="Times New Roman"/>
                <w:color w:val="auto"/>
                <w:sz w:val="24"/>
              </w:rPr>
              <w:t>评价结论</w:t>
            </w:r>
          </w:p>
          <w:p>
            <w:pPr>
              <w:widowControl/>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rPr>
              <w:t>通过工程分析可</w:t>
            </w:r>
            <w:r>
              <w:rPr>
                <w:rFonts w:ascii="Times New Roman" w:hAnsi="Times New Roman" w:eastAsia="宋体" w:cs="Times New Roman"/>
                <w:color w:val="auto"/>
                <w:sz w:val="24"/>
                <w:szCs w:val="24"/>
              </w:rPr>
              <w:t>知，本次评价提出的</w:t>
            </w:r>
            <w:r>
              <w:rPr>
                <w:rFonts w:ascii="Times New Roman" w:hAnsi="Times New Roman" w:eastAsia="宋体" w:cs="Times New Roman"/>
                <w:color w:val="auto"/>
                <w:sz w:val="24"/>
              </w:rPr>
              <w:t>噪声防治措施降噪效果</w:t>
            </w:r>
            <w:r>
              <w:rPr>
                <w:rFonts w:ascii="Times New Roman" w:hAnsi="Times New Roman" w:eastAsia="宋体" w:cs="Times New Roman"/>
                <w:color w:val="auto"/>
                <w:sz w:val="24"/>
                <w:szCs w:val="24"/>
              </w:rPr>
              <w:t>显著，厂区边界噪声可稳定达标排放；且经现场踏勘了解，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w:t>
            </w:r>
            <w:r>
              <w:rPr>
                <w:rFonts w:ascii="Times New Roman" w:hAnsi="Times New Roman" w:eastAsia="宋体" w:cs="Times New Roman"/>
                <w:color w:val="auto"/>
                <w:sz w:val="24"/>
                <w:szCs w:val="24"/>
                <w:lang w:val="zh-CN"/>
              </w:rPr>
              <w:t>m范围内无声环境保护目标，</w:t>
            </w:r>
            <w:r>
              <w:rPr>
                <w:rFonts w:ascii="Times New Roman" w:hAnsi="Times New Roman" w:eastAsia="宋体" w:cs="Times New Roman"/>
                <w:color w:val="auto"/>
                <w:sz w:val="24"/>
                <w:szCs w:val="24"/>
              </w:rPr>
              <w:t>故本项目正常工况下影响范围内不涉及声环境敏感目标。</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四</w:t>
            </w:r>
            <w:r>
              <w:rPr>
                <w:rFonts w:ascii="Times New Roman" w:hAnsi="Times New Roman" w:eastAsia="宋体" w:cs="Times New Roman"/>
                <w:color w:val="auto"/>
                <w:sz w:val="24"/>
                <w:szCs w:val="24"/>
              </w:rPr>
              <w:t>、固体废物</w:t>
            </w:r>
          </w:p>
          <w:p>
            <w:pPr>
              <w:adjustRightInd w:val="0"/>
              <w:snapToGrid w:val="0"/>
              <w:spacing w:line="480" w:lineRule="exact"/>
              <w:ind w:firstLine="480" w:firstLineChars="200"/>
              <w:rPr>
                <w:rFonts w:ascii="Times New Roman" w:hAnsi="Times New Roman" w:eastAsia="宋体" w:cs="Times New Roman"/>
                <w:color w:val="auto"/>
                <w:sz w:val="24"/>
                <w:lang w:val="zh-CN"/>
              </w:rPr>
            </w:pPr>
            <w:r>
              <w:rPr>
                <w:rFonts w:hint="eastAsia" w:ascii="Times New Roman" w:hAnsi="Times New Roman" w:eastAsia="宋体" w:cs="Times New Roman"/>
                <w:color w:val="auto"/>
                <w:sz w:val="24"/>
                <w:lang w:val="en-US" w:eastAsia="zh-CN"/>
              </w:rPr>
              <w:t>1、</w:t>
            </w:r>
            <w:r>
              <w:rPr>
                <w:rFonts w:ascii="Times New Roman" w:hAnsi="Times New Roman" w:eastAsia="宋体" w:cs="Times New Roman"/>
                <w:color w:val="auto"/>
                <w:sz w:val="24"/>
                <w:lang w:val="zh-CN"/>
              </w:rPr>
              <w:t>固体废物产生及污染防治措施</w:t>
            </w:r>
          </w:p>
          <w:p>
            <w:pPr>
              <w:widowControl/>
              <w:adjustRightInd w:val="0"/>
              <w:snapToGrid w:val="0"/>
              <w:spacing w:line="480" w:lineRule="exact"/>
              <w:jc w:val="center"/>
              <w:rPr>
                <w:rFonts w:ascii="Times New Roman" w:hAnsi="Times New Roman" w:eastAsia="宋体" w:cs="Times New Roman"/>
                <w:b/>
                <w:bCs w:val="0"/>
                <w:snapToGrid w:val="0"/>
                <w:color w:val="auto"/>
                <w:kern w:val="0"/>
                <w:szCs w:val="21"/>
              </w:rPr>
            </w:pPr>
            <w:r>
              <w:rPr>
                <w:rFonts w:ascii="Times New Roman" w:hAnsi="Times New Roman" w:eastAsia="宋体" w:cs="Times New Roman"/>
                <w:b/>
                <w:bCs w:val="0"/>
                <w:snapToGrid w:val="0"/>
                <w:color w:val="auto"/>
                <w:kern w:val="0"/>
                <w:szCs w:val="21"/>
              </w:rPr>
              <w:t>表2</w:t>
            </w:r>
            <w:r>
              <w:rPr>
                <w:rFonts w:hint="eastAsia" w:ascii="Times New Roman" w:hAnsi="Times New Roman" w:eastAsia="宋体" w:cs="Times New Roman"/>
                <w:b/>
                <w:bCs w:val="0"/>
                <w:snapToGrid w:val="0"/>
                <w:color w:val="auto"/>
                <w:kern w:val="0"/>
                <w:szCs w:val="21"/>
                <w:lang w:val="en-US" w:eastAsia="zh-CN"/>
              </w:rPr>
              <w:t>7</w:t>
            </w:r>
            <w:r>
              <w:rPr>
                <w:rFonts w:ascii="Times New Roman" w:hAnsi="Times New Roman" w:eastAsia="宋体" w:cs="Times New Roman"/>
                <w:b/>
                <w:bCs w:val="0"/>
                <w:snapToGrid w:val="0"/>
                <w:color w:val="auto"/>
                <w:kern w:val="0"/>
                <w:szCs w:val="21"/>
              </w:rPr>
              <w:t>固体废物产生及污染防治措施一览表</w:t>
            </w:r>
          </w:p>
          <w:tbl>
            <w:tblPr>
              <w:tblStyle w:val="20"/>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931"/>
              <w:gridCol w:w="975"/>
              <w:gridCol w:w="1256"/>
              <w:gridCol w:w="1257"/>
              <w:gridCol w:w="2324"/>
              <w:gridCol w:w="1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654" w:type="dxa"/>
                  <w:vAlign w:val="center"/>
                </w:tcPr>
                <w:p>
                  <w:pPr>
                    <w:adjustRightIn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zh-CN"/>
                    </w:rPr>
                    <w:t>产生环节</w:t>
                  </w: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名称</w:t>
                  </w:r>
                </w:p>
              </w:tc>
              <w:tc>
                <w:tcPr>
                  <w:tcW w:w="975"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属性</w:t>
                  </w:r>
                </w:p>
              </w:tc>
              <w:tc>
                <w:tcPr>
                  <w:tcW w:w="1256"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产生量</w:t>
                  </w:r>
                  <w:r>
                    <w:rPr>
                      <w:rFonts w:hint="eastAsia" w:ascii="Times New Roman" w:hAnsi="Times New Roman" w:eastAsia="宋体" w:cs="Times New Roman"/>
                      <w:color w:val="auto"/>
                      <w:sz w:val="21"/>
                      <w:szCs w:val="21"/>
                      <w:lang w:val="zh-CN"/>
                    </w:rPr>
                    <w:t>（</w:t>
                  </w:r>
                  <w:r>
                    <w:rPr>
                      <w:rFonts w:ascii="Times New Roman" w:hAnsi="Times New Roman" w:eastAsia="宋体" w:cs="Times New Roman"/>
                      <w:color w:val="auto"/>
                      <w:sz w:val="21"/>
                      <w:szCs w:val="21"/>
                    </w:rPr>
                    <w:t>t/a</w:t>
                  </w:r>
                  <w:r>
                    <w:rPr>
                      <w:rFonts w:hint="eastAsia" w:ascii="Times New Roman" w:hAnsi="Times New Roman" w:eastAsia="宋体" w:cs="Times New Roman"/>
                      <w:color w:val="auto"/>
                      <w:sz w:val="21"/>
                      <w:szCs w:val="21"/>
                      <w:lang w:val="zh-CN"/>
                    </w:rPr>
                    <w:t>）</w:t>
                  </w:r>
                </w:p>
              </w:tc>
              <w:tc>
                <w:tcPr>
                  <w:tcW w:w="1257"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贮存场所</w:t>
                  </w:r>
                </w:p>
              </w:tc>
              <w:tc>
                <w:tcPr>
                  <w:tcW w:w="2324"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处置方式和去向</w:t>
                  </w:r>
                </w:p>
              </w:tc>
              <w:tc>
                <w:tcPr>
                  <w:tcW w:w="1184"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处置量</w:t>
                  </w:r>
                  <w:r>
                    <w:rPr>
                      <w:rFonts w:hint="eastAsia" w:ascii="Times New Roman" w:hAnsi="Times New Roman" w:eastAsia="宋体" w:cs="Times New Roman"/>
                      <w:color w:val="auto"/>
                      <w:sz w:val="21"/>
                      <w:szCs w:val="21"/>
                      <w:lang w:val="zh-CN"/>
                    </w:rPr>
                    <w:t>（</w:t>
                  </w:r>
                  <w:r>
                    <w:rPr>
                      <w:rFonts w:ascii="Times New Roman" w:hAnsi="Times New Roman" w:eastAsia="宋体" w:cs="Times New Roman"/>
                      <w:color w:val="auto"/>
                      <w:sz w:val="21"/>
                      <w:szCs w:val="21"/>
                    </w:rPr>
                    <w:t>t/a</w:t>
                  </w:r>
                  <w:r>
                    <w:rPr>
                      <w:rFonts w:hint="eastAsia" w:ascii="Times New Roman" w:hAnsi="Times New Roman" w:eastAsia="宋体" w:cs="Times New Roman"/>
                      <w:color w:val="auto"/>
                      <w:sz w:val="21"/>
                      <w:szCs w:val="21"/>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restart"/>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生产过程</w:t>
                  </w: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olor w:val="auto"/>
                      <w:sz w:val="21"/>
                      <w:szCs w:val="21"/>
                    </w:rPr>
                    <w:t>铁屑及边角料</w:t>
                  </w:r>
                </w:p>
              </w:tc>
              <w:tc>
                <w:tcPr>
                  <w:tcW w:w="975" w:type="dxa"/>
                  <w:vMerge w:val="restart"/>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一般工业固体废物</w:t>
                  </w: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257" w:type="dxa"/>
                  <w:vMerge w:val="restart"/>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rPr>
                    <w:t>一般工业固体废物暂存库</w:t>
                  </w:r>
                </w:p>
              </w:tc>
              <w:tc>
                <w:tcPr>
                  <w:tcW w:w="2324" w:type="dxa"/>
                  <w:vMerge w:val="restart"/>
                  <w:vAlign w:val="center"/>
                </w:tcPr>
                <w:p>
                  <w:pPr>
                    <w:adjustRightInd w:val="0"/>
                    <w:rPr>
                      <w:rFonts w:ascii="Times New Roman" w:hAnsi="Times New Roman" w:eastAsia="宋体" w:cs="Times New Roman"/>
                      <w:color w:val="auto"/>
                      <w:sz w:val="21"/>
                      <w:szCs w:val="21"/>
                      <w:lang w:val="zh-CN"/>
                    </w:rPr>
                  </w:pPr>
                  <w:r>
                    <w:rPr>
                      <w:rFonts w:ascii="Times New Roman" w:hAnsi="Times New Roman" w:eastAsia="宋体"/>
                      <w:color w:val="auto"/>
                      <w:sz w:val="21"/>
                      <w:szCs w:val="21"/>
                    </w:rPr>
                    <w:t>统一收集后</w:t>
                  </w:r>
                  <w:r>
                    <w:rPr>
                      <w:rFonts w:hint="eastAsia" w:ascii="Times New Roman" w:hAnsi="Times New Roman" w:eastAsia="宋体"/>
                      <w:color w:val="auto"/>
                      <w:sz w:val="21"/>
                      <w:szCs w:val="21"/>
                    </w:rPr>
                    <w:t>销售给废品收购站</w:t>
                  </w:r>
                </w:p>
              </w:tc>
              <w:tc>
                <w:tcPr>
                  <w:tcW w:w="1184"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olor w:val="auto"/>
                      <w:sz w:val="21"/>
                      <w:szCs w:val="21"/>
                    </w:rPr>
                    <w:t>废焊条</w:t>
                  </w:r>
                </w:p>
              </w:tc>
              <w:tc>
                <w:tcPr>
                  <w:tcW w:w="975"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lang w:val="zh-CN"/>
                    </w:rPr>
                  </w:pPr>
                </w:p>
              </w:tc>
              <w:tc>
                <w:tcPr>
                  <w:tcW w:w="1184"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rPr>
                  </w:pPr>
                </w:p>
              </w:tc>
              <w:tc>
                <w:tcPr>
                  <w:tcW w:w="1931" w:type="dxa"/>
                  <w:vAlign w:val="center"/>
                </w:tcPr>
                <w:p>
                  <w:pPr>
                    <w:keepNext w:val="0"/>
                    <w:keepLines w:val="0"/>
                    <w:widowControl/>
                    <w:suppressLineNumbers w:val="0"/>
                    <w:jc w:val="center"/>
                    <w:rPr>
                      <w:rFonts w:hint="eastAsia" w:ascii="Times New Roman" w:hAnsi="Times New Roman" w:eastAsia="宋体"/>
                      <w:color w:val="auto"/>
                      <w:sz w:val="21"/>
                      <w:szCs w:val="21"/>
                    </w:rPr>
                  </w:pPr>
                  <w:r>
                    <w:rPr>
                      <w:rFonts w:hint="eastAsia" w:ascii="Times New Roman" w:hAnsi="Times New Roman" w:eastAsia="宋体" w:cs="宋体"/>
                      <w:color w:val="auto"/>
                      <w:kern w:val="0"/>
                      <w:sz w:val="21"/>
                      <w:szCs w:val="21"/>
                      <w:lang w:val="en-US" w:eastAsia="zh-CN" w:bidi="ar"/>
                    </w:rPr>
                    <w:t>除尘灰</w:t>
                  </w:r>
                </w:p>
              </w:tc>
              <w:tc>
                <w:tcPr>
                  <w:tcW w:w="975"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19.91</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hint="eastAsia" w:ascii="Times New Roman" w:hAnsi="Times New Roman" w:eastAsia="宋体" w:cs="Times New Roman"/>
                      <w:color w:val="auto"/>
                      <w:sz w:val="21"/>
                      <w:szCs w:val="21"/>
                    </w:rPr>
                  </w:pPr>
                </w:p>
              </w:tc>
              <w:tc>
                <w:tcPr>
                  <w:tcW w:w="1184" w:type="dxa"/>
                  <w:vAlign w:val="center"/>
                </w:tcPr>
                <w:p>
                  <w:pPr>
                    <w:adjustRightInd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19.91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en-US" w:eastAsia="zh-CN"/>
                    </w:rPr>
                    <w:t>废漆桶</w:t>
                  </w:r>
                </w:p>
              </w:tc>
              <w:tc>
                <w:tcPr>
                  <w:tcW w:w="975" w:type="dxa"/>
                  <w:vMerge w:val="restart"/>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257" w:type="dxa"/>
                  <w:vMerge w:val="restart"/>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危废暂存间</w:t>
                  </w:r>
                </w:p>
              </w:tc>
              <w:tc>
                <w:tcPr>
                  <w:tcW w:w="2324" w:type="dxa"/>
                  <w:vMerge w:val="restart"/>
                  <w:vAlign w:val="center"/>
                </w:tcPr>
                <w:p>
                  <w:pPr>
                    <w:adjustRightInd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定期由有资质单位处置</w:t>
                  </w: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en-US" w:eastAsia="zh-CN"/>
                    </w:rPr>
                    <w:t>废活性炭</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废机油</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乳化液</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废液压油</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零件废清洗液</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废棉纱、手套</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漆渣</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0.19</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54" w:type="dxa"/>
                  <w:vMerge w:val="continue"/>
                  <w:vAlign w:val="center"/>
                </w:tcPr>
                <w:p>
                  <w:pPr>
                    <w:adjustRightInd w:val="0"/>
                    <w:jc w:val="center"/>
                    <w:rPr>
                      <w:rFonts w:ascii="Times New Roman" w:hAnsi="Times New Roman" w:eastAsia="宋体" w:cs="Times New Roman"/>
                      <w:color w:val="auto"/>
                      <w:sz w:val="21"/>
                      <w:szCs w:val="21"/>
                      <w:lang w:val="zh-CN"/>
                    </w:rPr>
                  </w:pPr>
                </w:p>
              </w:tc>
              <w:tc>
                <w:tcPr>
                  <w:tcW w:w="1931" w:type="dxa"/>
                  <w:vAlign w:val="center"/>
                </w:tcPr>
                <w:p>
                  <w:pPr>
                    <w:adjustRightInd w:val="0"/>
                    <w:jc w:val="center"/>
                    <w:rPr>
                      <w:rFonts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含油废水处理系统产生的污泥</w:t>
                  </w:r>
                </w:p>
              </w:tc>
              <w:tc>
                <w:tcPr>
                  <w:tcW w:w="975" w:type="dxa"/>
                  <w:vMerge w:val="continue"/>
                  <w:vAlign w:val="center"/>
                </w:tcPr>
                <w:p>
                  <w:pPr>
                    <w:adjustRightInd w:val="0"/>
                    <w:jc w:val="center"/>
                    <w:rPr>
                      <w:rFonts w:hint="eastAsia" w:ascii="Times New Roman" w:hAnsi="Times New Roman" w:eastAsia="宋体" w:cs="Times New Roman"/>
                      <w:color w:val="auto"/>
                      <w:sz w:val="21"/>
                      <w:szCs w:val="21"/>
                      <w:lang w:val="zh-CN"/>
                    </w:rPr>
                  </w:pPr>
                </w:p>
              </w:tc>
              <w:tc>
                <w:tcPr>
                  <w:tcW w:w="1256" w:type="dxa"/>
                  <w:vAlign w:val="center"/>
                </w:tcPr>
                <w:p>
                  <w:pPr>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0.36</w:t>
                  </w:r>
                </w:p>
              </w:tc>
              <w:tc>
                <w:tcPr>
                  <w:tcW w:w="1257" w:type="dxa"/>
                  <w:vMerge w:val="continue"/>
                  <w:vAlign w:val="center"/>
                </w:tcPr>
                <w:p>
                  <w:pPr>
                    <w:adjustRightInd w:val="0"/>
                    <w:jc w:val="center"/>
                    <w:rPr>
                      <w:rFonts w:ascii="Times New Roman" w:hAnsi="Times New Roman" w:eastAsia="宋体" w:cs="Times New Roman"/>
                      <w:color w:val="auto"/>
                      <w:sz w:val="21"/>
                      <w:szCs w:val="21"/>
                    </w:rPr>
                  </w:pPr>
                </w:p>
              </w:tc>
              <w:tc>
                <w:tcPr>
                  <w:tcW w:w="2324" w:type="dxa"/>
                  <w:vMerge w:val="continue"/>
                  <w:vAlign w:val="center"/>
                </w:tcPr>
                <w:p>
                  <w:pPr>
                    <w:adjustRightInd w:val="0"/>
                    <w:rPr>
                      <w:rFonts w:ascii="Times New Roman" w:hAnsi="Times New Roman" w:eastAsia="宋体" w:cs="Times New Roman"/>
                      <w:color w:val="auto"/>
                      <w:sz w:val="21"/>
                      <w:szCs w:val="21"/>
                    </w:rPr>
                  </w:pPr>
                </w:p>
              </w:tc>
              <w:tc>
                <w:tcPr>
                  <w:tcW w:w="1184" w:type="dxa"/>
                  <w:vAlign w:val="center"/>
                </w:tcPr>
                <w:p>
                  <w:pPr>
                    <w:adjustRightInd w:val="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54" w:type="dxa"/>
                  <w:vAlign w:val="center"/>
                </w:tcPr>
                <w:p>
                  <w:pPr>
                    <w:autoSpaceDE w:val="0"/>
                    <w:autoSpaceDN w:val="0"/>
                    <w:adjustRightInd w:val="0"/>
                    <w:jc w:val="center"/>
                    <w:rPr>
                      <w:rFonts w:ascii="Times New Roman" w:hAnsi="Times New Roman" w:eastAsia="宋体" w:cs="Times New Roman"/>
                      <w:color w:val="auto"/>
                      <w:kern w:val="2"/>
                      <w:sz w:val="21"/>
                      <w:szCs w:val="21"/>
                      <w:lang w:val="zh-CN" w:eastAsia="zh-CN" w:bidi="ar-SA"/>
                    </w:rPr>
                  </w:pPr>
                  <w:r>
                    <w:rPr>
                      <w:rFonts w:ascii="Times New Roman" w:hAnsi="Times New Roman" w:eastAsia="宋体" w:cs="Times New Roman"/>
                      <w:color w:val="auto"/>
                      <w:sz w:val="21"/>
                      <w:szCs w:val="21"/>
                    </w:rPr>
                    <w:t>职工办公生活</w:t>
                  </w:r>
                </w:p>
              </w:tc>
              <w:tc>
                <w:tcPr>
                  <w:tcW w:w="1931" w:type="dxa"/>
                  <w:vAlign w:val="center"/>
                </w:tcPr>
                <w:p>
                  <w:pPr>
                    <w:adjustRightInd w:val="0"/>
                    <w:jc w:val="center"/>
                    <w:rPr>
                      <w:rFonts w:ascii="Times New Roman" w:hAnsi="Times New Roman" w:eastAsia="宋体" w:cs="Times New Roman"/>
                      <w:color w:val="auto"/>
                      <w:kern w:val="2"/>
                      <w:sz w:val="21"/>
                      <w:szCs w:val="21"/>
                      <w:lang w:val="zh-CN" w:eastAsia="zh-CN" w:bidi="ar-SA"/>
                    </w:rPr>
                  </w:pPr>
                  <w:r>
                    <w:rPr>
                      <w:rFonts w:ascii="Times New Roman" w:hAnsi="Times New Roman" w:eastAsia="宋体" w:cs="Times New Roman"/>
                      <w:color w:val="auto"/>
                      <w:sz w:val="21"/>
                      <w:szCs w:val="21"/>
                      <w:lang w:val="zh-CN"/>
                    </w:rPr>
                    <w:t>生活垃圾</w:t>
                  </w:r>
                </w:p>
              </w:tc>
              <w:tc>
                <w:tcPr>
                  <w:tcW w:w="975" w:type="dxa"/>
                  <w:vAlign w:val="center"/>
                </w:tcPr>
                <w:p>
                  <w:pPr>
                    <w:adjustRightInd w:val="0"/>
                    <w:jc w:val="center"/>
                    <w:rPr>
                      <w:rFonts w:ascii="Times New Roman" w:hAnsi="Times New Roman" w:eastAsia="宋体" w:cs="Times New Roman"/>
                      <w:color w:val="auto"/>
                      <w:kern w:val="2"/>
                      <w:sz w:val="21"/>
                      <w:szCs w:val="21"/>
                      <w:lang w:val="zh-CN" w:eastAsia="zh-CN" w:bidi="ar-SA"/>
                    </w:rPr>
                  </w:pPr>
                  <w:r>
                    <w:rPr>
                      <w:rFonts w:ascii="Times New Roman" w:hAnsi="Times New Roman" w:eastAsia="宋体" w:cs="Times New Roman"/>
                      <w:color w:val="auto"/>
                      <w:sz w:val="21"/>
                      <w:szCs w:val="21"/>
                      <w:lang w:val="zh-CN"/>
                    </w:rPr>
                    <w:t>生活垃圾</w:t>
                  </w:r>
                </w:p>
              </w:tc>
              <w:tc>
                <w:tcPr>
                  <w:tcW w:w="1256" w:type="dxa"/>
                  <w:vAlign w:val="center"/>
                </w:tcPr>
                <w:p>
                  <w:pPr>
                    <w:adjustRightInd w:val="0"/>
                    <w:jc w:val="center"/>
                    <w:rPr>
                      <w:rFonts w:ascii="Times New Roman" w:hAnsi="Times New Roman" w:eastAsia="宋体" w:cs="Times New Roman"/>
                      <w:color w:val="auto"/>
                      <w:kern w:val="2"/>
                      <w:sz w:val="21"/>
                      <w:szCs w:val="21"/>
                      <w:highlight w:val="yellow"/>
                      <w:lang w:val="en-US" w:eastAsia="zh-CN" w:bidi="ar-SA"/>
                    </w:rPr>
                  </w:pPr>
                  <w:r>
                    <w:rPr>
                      <w:rFonts w:hint="eastAsia" w:ascii="Times New Roman" w:hAnsi="Times New Roman" w:eastAsia="宋体" w:cs="Times New Roman"/>
                      <w:color w:val="auto"/>
                      <w:sz w:val="21"/>
                      <w:szCs w:val="21"/>
                      <w:lang w:val="en-US" w:eastAsia="zh-CN"/>
                    </w:rPr>
                    <w:t>21.9</w:t>
                  </w:r>
                </w:p>
              </w:tc>
              <w:tc>
                <w:tcPr>
                  <w:tcW w:w="1257" w:type="dxa"/>
                  <w:vAlign w:val="center"/>
                </w:tcPr>
                <w:p>
                  <w:pPr>
                    <w:adjustRightInd w:val="0"/>
                    <w:jc w:val="center"/>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带盖的垃圾桶</w:t>
                  </w:r>
                </w:p>
              </w:tc>
              <w:tc>
                <w:tcPr>
                  <w:tcW w:w="2324" w:type="dxa"/>
                  <w:vAlign w:val="center"/>
                </w:tcPr>
                <w:p>
                  <w:pPr>
                    <w:adjustRightIn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zh-CN"/>
                    </w:rPr>
                    <w:t>由汽车定期运往生活垃圾收集点，由</w:t>
                  </w:r>
                  <w:r>
                    <w:rPr>
                      <w:rFonts w:hint="eastAsia" w:ascii="Times New Roman" w:hAnsi="Times New Roman" w:eastAsia="宋体" w:cs="Times New Roman"/>
                      <w:color w:val="auto"/>
                      <w:sz w:val="21"/>
                      <w:szCs w:val="21"/>
                      <w:lang w:val="en-US" w:eastAsia="zh-CN"/>
                    </w:rPr>
                    <w:t>环卫部门</w:t>
                  </w:r>
                  <w:r>
                    <w:rPr>
                      <w:rFonts w:ascii="Times New Roman" w:hAnsi="Times New Roman" w:eastAsia="宋体" w:cs="Times New Roman"/>
                      <w:color w:val="auto"/>
                      <w:sz w:val="21"/>
                      <w:szCs w:val="21"/>
                      <w:lang w:val="zh-CN"/>
                    </w:rPr>
                    <w:t>定期统一清运处理</w:t>
                  </w:r>
                </w:p>
              </w:tc>
              <w:tc>
                <w:tcPr>
                  <w:tcW w:w="1184" w:type="dxa"/>
                  <w:vAlign w:val="center"/>
                </w:tcPr>
                <w:p>
                  <w:pPr>
                    <w:adjustRightInd w:val="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z w:val="21"/>
                      <w:szCs w:val="21"/>
                      <w:lang w:val="en-US" w:eastAsia="zh-CN"/>
                    </w:rPr>
                    <w:t>21.9</w:t>
                  </w:r>
                </w:p>
              </w:tc>
            </w:tr>
          </w:tbl>
          <w:p>
            <w:pPr>
              <w:adjustRightInd w:val="0"/>
              <w:snapToGrid w:val="0"/>
              <w:spacing w:line="480" w:lineRule="exact"/>
              <w:ind w:firstLine="480" w:firstLineChars="200"/>
              <w:rPr>
                <w:rFonts w:ascii="Times New Roman" w:hAnsi="Times New Roman" w:eastAsia="宋体" w:cs="Times New Roman"/>
                <w:color w:val="auto"/>
                <w:sz w:val="24"/>
                <w:lang w:val="zh-CN"/>
              </w:rPr>
            </w:pP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lang w:val="zh-CN"/>
              </w:rPr>
              <w:t>环境管理要求</w:t>
            </w:r>
          </w:p>
          <w:p>
            <w:pPr>
              <w:adjustRightInd w:val="0"/>
              <w:snapToGrid w:val="0"/>
              <w:spacing w:line="480" w:lineRule="exact"/>
              <w:ind w:firstLine="480" w:firstLineChars="200"/>
              <w:rPr>
                <w:rFonts w:ascii="Times New Roman" w:hAnsi="Times New Roman" w:eastAsia="宋体" w:cs="Times New Roman"/>
                <w:color w:val="auto"/>
                <w:sz w:val="24"/>
              </w:rPr>
            </w:pP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1</w:t>
            </w:r>
            <w:r>
              <w:rPr>
                <w:rFonts w:hint="eastAsia" w:ascii="Times New Roman" w:hAnsi="Times New Roman" w:eastAsia="宋体" w:cs="宋体"/>
                <w:color w:val="auto"/>
                <w:sz w:val="24"/>
                <w:lang w:eastAsia="zh-CN"/>
              </w:rPr>
              <w:t>）</w:t>
            </w:r>
            <w:r>
              <w:rPr>
                <w:rFonts w:ascii="Times New Roman" w:hAnsi="Times New Roman" w:eastAsia="宋体" w:cs="Times New Roman"/>
                <w:color w:val="auto"/>
                <w:sz w:val="24"/>
              </w:rPr>
              <w:t>一般工业固体废物</w:t>
            </w:r>
          </w:p>
          <w:p>
            <w:pPr>
              <w:adjustRightInd w:val="0"/>
              <w:snapToGrid w:val="0"/>
              <w:spacing w:line="48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综合考虑各方面因素，本项目产生的一般工业固体废物在大多数情况下不能全部直接清运出厂，故在厂区内设置1间一般工业固体废物暂存库（位于厂区内西南角，呈东西走向，长</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宽</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高：30m</w:t>
            </w:r>
            <w:r>
              <w:rPr>
                <w:rFonts w:hint="eastAsia" w:ascii="Times New Roman" w:hAnsi="Times New Roman" w:eastAsia="宋体" w:cs="Times New Roman"/>
                <w:color w:val="auto"/>
                <w:sz w:val="24"/>
                <w:lang w:val="en-US" w:eastAsia="zh-CN"/>
              </w:rPr>
              <w:t>×</w:t>
            </w:r>
            <w:r>
              <w:rPr>
                <w:rFonts w:ascii="Times New Roman" w:hAnsi="Times New Roman" w:eastAsia="宋体" w:cs="Times New Roman"/>
                <w:color w:val="auto"/>
                <w:sz w:val="24"/>
              </w:rPr>
              <w:t>20m</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ascii="Times New Roman" w:hAnsi="Times New Roman" w:eastAsia="宋体" w:cs="Times New Roman"/>
                <w:color w:val="auto"/>
                <w:sz w:val="24"/>
              </w:rPr>
              <w:t>6m）。参照</w:t>
            </w:r>
            <w:r>
              <w:rPr>
                <w:rFonts w:ascii="Times New Roman" w:hAnsi="Times New Roman" w:eastAsia="宋体" w:cs="Times New Roman"/>
                <w:color w:val="auto"/>
                <w:sz w:val="24"/>
                <w:szCs w:val="24"/>
                <w:lang w:val="zh-CN"/>
              </w:rPr>
              <w:t>《一般工业固体废物贮存和填埋污染控制标准》（GB18599-2020）</w:t>
            </w:r>
            <w:r>
              <w:rPr>
                <w:rFonts w:ascii="Times New Roman" w:hAnsi="Times New Roman" w:eastAsia="宋体" w:cs="Times New Roman"/>
                <w:color w:val="auto"/>
                <w:sz w:val="24"/>
              </w:rPr>
              <w:t>中Ⅰ类一般工业固体废物贮存场和填埋场相关环境保护要求对本项目一般工业固体废物暂存库进行设计和运行管理：A.为避免雨水径流进入暂存间内造成渗滤液增加或物料滑坡，在暂存间周边设置雨水导流渠；B.在暂存间内地势低的地方设置1座容积为0.5m</w:t>
            </w:r>
            <w:r>
              <w:rPr>
                <w:rFonts w:ascii="Times New Roman" w:hAnsi="Times New Roman" w:eastAsia="宋体" w:cs="Times New Roman"/>
                <w:color w:val="auto"/>
                <w:sz w:val="24"/>
                <w:vertAlign w:val="superscript"/>
              </w:rPr>
              <w:t>3</w:t>
            </w:r>
            <w:r>
              <w:rPr>
                <w:rFonts w:ascii="Times New Roman" w:hAnsi="Times New Roman" w:eastAsia="宋体" w:cs="Times New Roman"/>
                <w:color w:val="auto"/>
                <w:sz w:val="24"/>
              </w:rPr>
              <w:t>的渗滤液收集池，渗滤液依靠自然坡度沿导流渠汇入收集池内；C.按照GB15562.2设置环境保护图形标志并定期检查维护；D.禁止生活垃圾混入；E.建立检查维护制度，定期检查维护导流渠和渗滤液收集池等设施，如发现有损坏可能或异常，及时采取措施以保证其正常运行；F.建立档案，详细记录一般工业固体废物的名称和数量等相关信息，长期保存以供随时查阅。</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（2）危险废物</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按照危险废物管理要求，厂内对危险废物进行临时贮存，转移和最终处置严格按照《危险废物收集、贮存、运输技术规范》（</w:t>
            </w:r>
            <w:r>
              <w:rPr>
                <w:rFonts w:hint="default" w:ascii="Times New Roman" w:hAnsi="Times New Roman" w:eastAsia="宋体" w:cs="Times New Roman"/>
                <w:color w:val="auto"/>
                <w:sz w:val="24"/>
                <w:szCs w:val="24"/>
                <w:lang w:val="en-US" w:eastAsia="zh-CN"/>
              </w:rPr>
              <w:t>HJ2025-2012</w:t>
            </w:r>
            <w:r>
              <w:rPr>
                <w:rFonts w:hint="eastAsia" w:ascii="Times New Roman" w:hAnsi="Times New Roman" w:eastAsia="宋体" w:cs="Times New Roman"/>
                <w:color w:val="auto"/>
                <w:sz w:val="24"/>
                <w:szCs w:val="24"/>
                <w:lang w:val="en-US" w:eastAsia="zh-CN"/>
              </w:rPr>
              <w:t>）中相关规定，危险废物临时贮存期间应满足《危险废物贮存污染控制标准》（</w:t>
            </w:r>
            <w:r>
              <w:rPr>
                <w:rFonts w:hint="default" w:ascii="Times New Roman" w:hAnsi="Times New Roman" w:eastAsia="宋体" w:cs="Times New Roman"/>
                <w:color w:val="auto"/>
                <w:sz w:val="24"/>
                <w:szCs w:val="24"/>
                <w:lang w:val="en-US" w:eastAsia="zh-CN"/>
              </w:rPr>
              <w:t>GB18597-2001</w:t>
            </w:r>
            <w:r>
              <w:rPr>
                <w:rFonts w:hint="eastAsia" w:ascii="Times New Roman" w:hAnsi="Times New Roman" w:eastAsia="宋体" w:cs="Times New Roman"/>
                <w:color w:val="auto"/>
                <w:sz w:val="24"/>
                <w:szCs w:val="24"/>
                <w:lang w:val="en-US" w:eastAsia="zh-CN"/>
              </w:rPr>
              <w:t>）及修改单中对危险废物贮存设施的要求，严禁将危险废物混入非危险废物中。</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危险废物的贮存设施应满足以下要求：</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、应建有堵截泄漏的裙脚，地面与裙脚要用坚固防渗的材料建造。应有隔离设施、报警装置和防风、防晒、防雨设施；</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b</w:t>
            </w:r>
            <w:r>
              <w:rPr>
                <w:rFonts w:hint="eastAsia" w:ascii="Times New Roman" w:hAnsi="Times New Roman" w:eastAsia="宋体" w:cs="Times New Roman"/>
                <w:color w:val="auto"/>
                <w:sz w:val="24"/>
                <w:szCs w:val="24"/>
                <w:lang w:val="en-US" w:eastAsia="zh-CN"/>
              </w:rPr>
              <w:t>、基础必须防渗，采用环氧树脂进行防渗；</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lang w:val="en-US" w:eastAsia="zh-CN"/>
              </w:rPr>
              <w:t>、用于存放液体、半固体危险废物的地方，还须有耐腐蚀的硬化地面，地面无裂隙；</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lang w:val="en-US" w:eastAsia="zh-CN"/>
              </w:rPr>
              <w:t>、危险废物的贮存场所需设置警示牌，对不相容的危险废物堆放区必须有隔离间隔断；</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lang w:val="en-US" w:eastAsia="zh-CN"/>
              </w:rPr>
              <w:t>、危险废物的贮存设施的选址与设计、运行与管理、安全防护、环境监测及应急措施、以及关闭等须遵循《危险废物贮存污染控制标准》的规定；</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f</w:t>
            </w:r>
            <w:r>
              <w:rPr>
                <w:rFonts w:hint="eastAsia" w:ascii="Times New Roman" w:hAnsi="Times New Roman" w:eastAsia="宋体" w:cs="Times New Roman"/>
                <w:color w:val="auto"/>
                <w:sz w:val="24"/>
                <w:szCs w:val="24"/>
                <w:lang w:val="en-US" w:eastAsia="zh-CN"/>
              </w:rPr>
              <w:t>、企业按照《危险废物管理计划（大纲）（试行）》的要求做好危险废物计划和危险废物台帐。</w:t>
            </w:r>
          </w:p>
          <w:p>
            <w:pPr>
              <w:pStyle w:val="2"/>
            </w:pPr>
            <w:r>
              <w:rPr>
                <w:rFonts w:hint="eastAsia"/>
                <w:lang w:val="en-US" w:eastAsia="zh-CN"/>
              </w:rPr>
              <w:t xml:space="preserve">    </w:t>
            </w:r>
            <w:r>
              <w:drawing>
                <wp:inline distT="0" distB="0" distL="114300" distR="114300">
                  <wp:extent cx="2122170" cy="1793875"/>
                  <wp:effectExtent l="0" t="0" r="11430" b="15875"/>
                  <wp:docPr id="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
                          <pic:cNvPicPr>
                            <a:picLocks noChangeAspect="1"/>
                          </pic:cNvPicPr>
                        </pic:nvPicPr>
                        <pic:blipFill>
                          <a:blip r:embed="rId24"/>
                          <a:stretch>
                            <a:fillRect/>
                          </a:stretch>
                        </pic:blipFill>
                        <pic:spPr>
                          <a:xfrm>
                            <a:off x="0" y="0"/>
                            <a:ext cx="2122170" cy="1793875"/>
                          </a:xfrm>
                          <a:prstGeom prst="rect">
                            <a:avLst/>
                          </a:prstGeom>
                          <a:noFill/>
                          <a:ln>
                            <a:noFill/>
                          </a:ln>
                        </pic:spPr>
                      </pic:pic>
                    </a:graphicData>
                  </a:graphic>
                </wp:inline>
              </w:drawing>
            </w:r>
            <w:r>
              <w:drawing>
                <wp:inline distT="0" distB="0" distL="114300" distR="114300">
                  <wp:extent cx="2193925" cy="1790700"/>
                  <wp:effectExtent l="0" t="0" r="15875" b="0"/>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25"/>
                          <a:stretch>
                            <a:fillRect/>
                          </a:stretch>
                        </pic:blipFill>
                        <pic:spPr>
                          <a:xfrm>
                            <a:off x="0" y="0"/>
                            <a:ext cx="2193925" cy="1790700"/>
                          </a:xfrm>
                          <a:prstGeom prst="rect">
                            <a:avLst/>
                          </a:prstGeom>
                          <a:noFill/>
                          <a:ln>
                            <a:noFill/>
                          </a:ln>
                        </pic:spPr>
                      </pic:pic>
                    </a:graphicData>
                  </a:graphic>
                </wp:inline>
              </w:drawing>
            </w:r>
          </w:p>
          <w:p>
            <w:pPr>
              <w:jc w:val="center"/>
              <w:rPr>
                <w:rFonts w:hint="default" w:eastAsiaTheme="minorEastAsia"/>
                <w:b/>
                <w:bCs/>
                <w:lang w:val="en-US" w:eastAsia="zh-CN"/>
              </w:rPr>
            </w:pPr>
            <w:r>
              <w:rPr>
                <w:rFonts w:hint="eastAsia"/>
                <w:b/>
                <w:bCs/>
                <w:lang w:val="en-US" w:eastAsia="zh-CN"/>
              </w:rPr>
              <w:t>图8 危废标识及标志</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3、危险废物包装、运输要求</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项目各固废均按照相应的包装要求进行包装，经本次固废论证后，企业将危废委托有资质单位进行处置。企业危废外运委托有资质的单位进行运输，严格执行《危险废物收集贮存运输技术规范》（</w:t>
            </w:r>
            <w:r>
              <w:rPr>
                <w:rFonts w:hint="default" w:ascii="Times New Roman" w:hAnsi="Times New Roman" w:eastAsia="宋体" w:cs="Times New Roman"/>
                <w:color w:val="auto"/>
                <w:sz w:val="24"/>
                <w:szCs w:val="24"/>
                <w:lang w:val="en-US" w:eastAsia="zh-CN"/>
              </w:rPr>
              <w:t>HJ2025-2012</w:t>
            </w:r>
            <w:r>
              <w:rPr>
                <w:rFonts w:hint="eastAsia" w:ascii="Times New Roman" w:hAnsi="Times New Roman" w:eastAsia="宋体" w:cs="Times New Roman"/>
                <w:color w:val="auto"/>
                <w:sz w:val="24"/>
                <w:szCs w:val="24"/>
                <w:lang w:val="en-US" w:eastAsia="zh-CN"/>
              </w:rPr>
              <w:t>）和《危险废物转移联单管理办法》，并制定好危险废物转移运输途中的污染防范及事故应急措施，严格按照要求办理有关手续。</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运输单位在运输本项目危险废物过程中应严格做好相应的防范措施，防止危险废物的泄露，或发生重大交通事故，具体措施如下：</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、采用专用车辆直接从企业将危险废物运送至处理处置单位厂内，运输过程严格遵守《中华人民共和国固体废物污染环境防治法》、《危险废物收集、贮存、运输技术规范》（</w:t>
            </w:r>
            <w:r>
              <w:rPr>
                <w:rFonts w:hint="default" w:ascii="Times New Roman" w:hAnsi="Times New Roman" w:eastAsia="宋体" w:cs="Times New Roman"/>
                <w:color w:val="auto"/>
                <w:sz w:val="24"/>
                <w:szCs w:val="24"/>
                <w:lang w:val="en-US" w:eastAsia="zh-CN"/>
              </w:rPr>
              <w:t>HJ2025-2012</w:t>
            </w:r>
            <w:r>
              <w:rPr>
                <w:rFonts w:hint="eastAsia" w:ascii="Times New Roman" w:hAnsi="Times New Roman" w:eastAsia="宋体" w:cs="Times New Roman"/>
                <w:color w:val="auto"/>
                <w:sz w:val="24"/>
                <w:szCs w:val="24"/>
                <w:lang w:val="en-US" w:eastAsia="zh-CN"/>
              </w:rPr>
              <w:t>）等相关规定。</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B</w:t>
            </w:r>
            <w:r>
              <w:rPr>
                <w:rFonts w:hint="eastAsia" w:ascii="Times New Roman" w:hAnsi="Times New Roman" w:eastAsia="宋体" w:cs="Times New Roman"/>
                <w:color w:val="auto"/>
                <w:sz w:val="24"/>
                <w:szCs w:val="24"/>
                <w:lang w:val="en-US" w:eastAsia="zh-CN"/>
              </w:rPr>
              <w:t>、运输途中不设中转站临时贮存，避免危险废物在中转站卸载和装载时发生二次污染的风险，及时由危险废物的产生地直接运送到处理处置单位厂内。</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lang w:val="en-US" w:eastAsia="zh-CN"/>
              </w:rPr>
              <w:t>、危险废物运输车辆必须在车辆前部和后部、车厢两侧设置专用警示标识。</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lang w:val="en-US" w:eastAsia="zh-CN"/>
              </w:rPr>
              <w:t>、应当根据危险废物总体处置方案，配备足够数量的运输车辆，合理地备用应急车辆。</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lang w:val="en-US" w:eastAsia="zh-CN"/>
              </w:rPr>
              <w:t>、每辆运输车应制定负责人，对危险废物运输过程负责，从事危险废物运输的司机等人员应经过合格的培训并通过考核。</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F</w:t>
            </w:r>
            <w:r>
              <w:rPr>
                <w:rFonts w:hint="eastAsia" w:ascii="Times New Roman" w:hAnsi="Times New Roman" w:eastAsia="宋体" w:cs="Times New Roman"/>
                <w:color w:val="auto"/>
                <w:sz w:val="24"/>
                <w:szCs w:val="24"/>
                <w:lang w:val="en-US" w:eastAsia="zh-CN"/>
              </w:rPr>
              <w:t>、在运输前应事先作出周密的运输计划，安排好运输车辆经过各路段的时间，尽量避免运输车辆在交通高峰期间通过市区。</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G</w:t>
            </w:r>
            <w:r>
              <w:rPr>
                <w:rFonts w:hint="eastAsia" w:ascii="Times New Roman" w:hAnsi="Times New Roman" w:eastAsia="宋体" w:cs="Times New Roman"/>
                <w:color w:val="auto"/>
                <w:sz w:val="24"/>
                <w:szCs w:val="24"/>
                <w:lang w:val="en-US" w:eastAsia="zh-CN"/>
              </w:rPr>
              <w:t>、危险废物运输者应制定事故应急和防止运输过程中发生泄漏、丢失、扬散的保障措施和配备必要的设备，在危险废物发生泄漏时可以及时将危险废物收集，减少散失。</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运输车辆在每次运输前都必须对每辆运输车辆的车况进行检查，确保车况良好后方可出车，运输车辆负责人应对每辆运输车必须配备的辅助物品进行检查，确保完备，定期对运输车辆进行全面检查，减少和防止危险废物发生泄漏和交通事故的发生。</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I</w:t>
            </w:r>
            <w:r>
              <w:rPr>
                <w:rFonts w:hint="eastAsia" w:ascii="Times New Roman" w:hAnsi="Times New Roman" w:eastAsia="宋体" w:cs="Times New Roman"/>
                <w:color w:val="auto"/>
                <w:sz w:val="24"/>
                <w:szCs w:val="24"/>
                <w:lang w:val="en-US" w:eastAsia="zh-CN"/>
              </w:rPr>
              <w:t>、禁止混合运输性质不相容而未经安全性处置的危险废物，运输车辆不得搭乘其他无关人员。</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J</w:t>
            </w:r>
            <w:r>
              <w:rPr>
                <w:rFonts w:hint="eastAsia" w:ascii="Times New Roman" w:hAnsi="Times New Roman" w:eastAsia="宋体" w:cs="Times New Roman"/>
                <w:color w:val="auto"/>
                <w:sz w:val="24"/>
                <w:szCs w:val="24"/>
                <w:lang w:val="en-US" w:eastAsia="zh-CN"/>
              </w:rPr>
              <w:t>、车辆行驶时应锁闭车厢门，确保安全，不得丢失、遗撒和打开包装取出危险废物。</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K</w:t>
            </w:r>
            <w:r>
              <w:rPr>
                <w:rFonts w:hint="eastAsia" w:ascii="Times New Roman" w:hAnsi="Times New Roman" w:eastAsia="宋体" w:cs="Times New Roman"/>
                <w:color w:val="auto"/>
                <w:sz w:val="24"/>
                <w:szCs w:val="24"/>
                <w:lang w:val="en-US" w:eastAsia="zh-CN"/>
              </w:rPr>
              <w:t>、合理安排运输频次，在气象条件不好的天气，不能运输危险废物，可先贮藏，等天气好转时再进行运输，小雨天可运输，但应小心驾驶并加强安全措施。</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w:t>
            </w:r>
            <w:r>
              <w:rPr>
                <w:rFonts w:hint="eastAsia" w:ascii="Times New Roman" w:hAnsi="Times New Roman" w:eastAsia="宋体" w:cs="Times New Roman"/>
                <w:color w:val="auto"/>
                <w:sz w:val="24"/>
                <w:szCs w:val="24"/>
                <w:lang w:val="en-US" w:eastAsia="zh-CN"/>
              </w:rPr>
              <w:t>、运输车辆应该限速行驶，避免交通事故的发生，在不好的路段及沿线有敏感水体的区域应小心驾驶，防止发生事故或泄露性事故而污染水体。</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val="en-US" w:eastAsia="zh-CN"/>
              </w:rPr>
              <w:t>、危险废物运输者在转移过程中发生意外事故，应立即向当地环境保护主管部门和交通管理部门报告，并采取相应措施，防止环境污染事故扩大。</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lang w:val="en-US" w:eastAsia="zh-CN"/>
              </w:rPr>
              <w:t>、应制定事故应急计划，在事故发生时及发生后做好相应的环境保护措施。</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应急计划包括：应急组织及其职责，及市、县环境保护主管部门和交通管理部门，应按区设立区域应急中心，应急设施、设备与器材；应急通讯联络，运输路线经过区环境保护主管部门和交通管理部门的联络方式；应急措施，事故后果评价；应急监测；应急安全、保卫、应急救援等。</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通过上述分析可知，项目危险废物运输过程中在严格做好相应的防范措施后，对环境的影响较小。</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4、项目固废处理处置的影响分析</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固体废物进行了分类收集、贮存，防止危险废物与生活垃圾混放后引发危险废物的二次污染，减轻了对环境的影响。</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同时对固体废物在厂内的堆放区采取了相应的防护措施，所有危险废物能妥善在厂区内存放，不会对土壤、地下水等造成影响。</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企业将危废委托有危废处置资质单位进行处置，生活垃圾委托环卫部门清运。</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本项目属于新建项目，企业目前尚未开工建设，待企业建成运营时须积极与相关有处理资质单位协商签订委托处置协议，承诺尽快完善该手续，报环保部门备案</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五</w:t>
            </w:r>
            <w:r>
              <w:rPr>
                <w:rFonts w:ascii="Times New Roman" w:hAnsi="Times New Roman" w:eastAsia="宋体" w:cs="Times New Roman"/>
                <w:color w:val="auto"/>
                <w:sz w:val="24"/>
                <w:szCs w:val="24"/>
              </w:rPr>
              <w:t>、地下水环境、土壤环境影响评价</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地下水环境影响评价</w:t>
            </w:r>
          </w:p>
          <w:p>
            <w:pPr>
              <w:adjustRightInd w:val="0"/>
              <w:snapToGrid w:val="0"/>
              <w:spacing w:line="480" w:lineRule="exact"/>
              <w:ind w:firstLine="480" w:firstLineChars="200"/>
              <w:rPr>
                <w:rFonts w:ascii="Times New Roman" w:hAnsi="Times New Roman" w:eastAsia="宋体" w:cs="Times New Roman"/>
                <w:color w:val="auto"/>
                <w:sz w:val="24"/>
                <w:szCs w:val="24"/>
                <w:lang w:val="zh-CN"/>
              </w:rPr>
            </w:pPr>
            <w:r>
              <w:rPr>
                <w:rFonts w:ascii="Times New Roman" w:hAnsi="Times New Roman" w:eastAsia="宋体" w:cs="Times New Roman"/>
                <w:color w:val="auto"/>
                <w:sz w:val="24"/>
                <w:szCs w:val="24"/>
              </w:rPr>
              <w:t>通过工程分析可知，本项目正常工况下不涉及地下水环境污染源；且经现场踏勘了解，</w:t>
            </w:r>
            <w:r>
              <w:rPr>
                <w:rFonts w:ascii="Times New Roman" w:hAnsi="Times New Roman" w:eastAsia="宋体" w:cs="Times New Roman"/>
                <w:color w:val="auto"/>
                <w:sz w:val="24"/>
                <w:szCs w:val="24"/>
                <w:lang w:val="zh-CN"/>
              </w:rPr>
              <w:t>厂区边界向外延伸</w:t>
            </w:r>
            <w:r>
              <w:rPr>
                <w:rFonts w:ascii="Times New Roman" w:hAnsi="Times New Roman" w:eastAsia="宋体" w:cs="Times New Roman"/>
                <w:color w:val="auto"/>
                <w:sz w:val="24"/>
                <w:szCs w:val="24"/>
              </w:rPr>
              <w:t>500</w:t>
            </w:r>
            <w:r>
              <w:rPr>
                <w:rFonts w:ascii="Times New Roman" w:hAnsi="Times New Roman" w:eastAsia="宋体" w:cs="Times New Roman"/>
                <w:color w:val="auto"/>
                <w:sz w:val="24"/>
                <w:szCs w:val="24"/>
                <w:lang w:val="zh-CN"/>
              </w:rPr>
              <w:t>m范围内无</w:t>
            </w:r>
            <w:r>
              <w:rPr>
                <w:rFonts w:ascii="Times New Roman" w:hAnsi="Times New Roman" w:eastAsia="宋体" w:cs="Times New Roman"/>
                <w:color w:val="auto"/>
                <w:sz w:val="24"/>
                <w:szCs w:val="24"/>
              </w:rPr>
              <w:t>地下水型集中式饮用水水源和热水、矿泉水、温泉等特殊地下水资源，本次评价未开展地下水环境影响评价工作。</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w:t>
            </w:r>
            <w:r>
              <w:rPr>
                <w:rFonts w:ascii="Times New Roman" w:hAnsi="Times New Roman" w:eastAsia="宋体" w:cs="Times New Roman"/>
                <w:color w:val="auto"/>
                <w:sz w:val="24"/>
                <w:szCs w:val="24"/>
                <w:lang w:val="zh-CN"/>
              </w:rPr>
              <w:t>《环境影响评价技术导则地下水环境》（HJ</w:t>
            </w:r>
            <w:r>
              <w:rPr>
                <w:rFonts w:ascii="Times New Roman" w:hAnsi="Times New Roman" w:eastAsia="宋体" w:cs="Times New Roman"/>
                <w:color w:val="auto"/>
                <w:sz w:val="24"/>
                <w:szCs w:val="24"/>
              </w:rPr>
              <w:t>610-2016</w:t>
            </w:r>
            <w:r>
              <w:rPr>
                <w:rFonts w:ascii="Times New Roman" w:hAnsi="Times New Roman" w:eastAsia="宋体" w:cs="Times New Roman"/>
                <w:color w:val="auto"/>
                <w:sz w:val="24"/>
                <w:szCs w:val="24"/>
                <w:lang w:val="zh-CN"/>
              </w:rPr>
              <w:t>）第</w:t>
            </w:r>
            <w:r>
              <w:rPr>
                <w:rFonts w:ascii="Times New Roman" w:hAnsi="Times New Roman" w:eastAsia="宋体" w:cs="Times New Roman"/>
                <w:color w:val="auto"/>
                <w:sz w:val="24"/>
                <w:szCs w:val="24"/>
              </w:rPr>
              <w:t>11节“地下水环境保护措施与对策”第11.2小节“建设项目污染防控对策”中相关内容，本次评价依据建设项目场地天然包气带防污性能、污染控制难易程度和污染物特性进行地下水污染防渗分区并提出防渗技术要求：</w:t>
            </w:r>
            <w:r>
              <w:rPr>
                <w:rFonts w:hint="eastAsia" w:ascii="Times New Roman" w:hAnsi="Times New Roman" w:eastAsia="宋体" w:cs="宋体"/>
                <w:color w:val="auto"/>
                <w:sz w:val="24"/>
                <w:szCs w:val="24"/>
              </w:rPr>
              <w:t>①</w:t>
            </w:r>
            <w:r>
              <w:rPr>
                <w:rFonts w:ascii="Times New Roman" w:hAnsi="Times New Roman" w:eastAsia="宋体" w:cs="Times New Roman"/>
                <w:color w:val="auto"/>
                <w:sz w:val="24"/>
                <w:szCs w:val="24"/>
              </w:rPr>
              <w:t>重点防渗区（</w:t>
            </w:r>
            <w:r>
              <w:rPr>
                <w:rFonts w:hint="eastAsia" w:ascii="Times New Roman" w:hAnsi="Times New Roman" w:eastAsia="宋体" w:cs="Times New Roman"/>
                <w:color w:val="auto"/>
                <w:sz w:val="24"/>
                <w:szCs w:val="24"/>
                <w:lang w:val="en-US" w:eastAsia="zh-CN"/>
              </w:rPr>
              <w:t>喷漆房、为废杂寸金</w:t>
            </w:r>
            <w:r>
              <w:rPr>
                <w:rFonts w:ascii="Times New Roman" w:hAnsi="Times New Roman" w:eastAsia="宋体" w:cs="Times New Roman"/>
                <w:color w:val="auto"/>
                <w:sz w:val="24"/>
                <w:szCs w:val="24"/>
              </w:rPr>
              <w:t>）防渗技术要求：等效黏土防</w:t>
            </w:r>
            <w:r>
              <w:rPr>
                <w:rFonts w:ascii="Times New Roman" w:hAnsi="Times New Roman" w:eastAsia="宋体" w:cs="Times New Roman"/>
                <w:color w:val="auto"/>
                <w:kern w:val="24"/>
                <w:sz w:val="24"/>
                <w:szCs w:val="24"/>
              </w:rPr>
              <w:t>渗层</w:t>
            </w:r>
            <w:r>
              <w:rPr>
                <w:rFonts w:ascii="Times New Roman" w:hAnsi="Times New Roman" w:eastAsia="宋体" w:cs="Times New Roman"/>
                <w:color w:val="auto"/>
                <w:position w:val="-6"/>
                <w:sz w:val="24"/>
                <w:szCs w:val="24"/>
              </w:rPr>
              <w:object>
                <v:shape id="_x0000_i1029" o:spt="75" type="#_x0000_t75" style="height:12.5pt;width:16.9pt;" o:ole="t" filled="f" o:preferrelative="t" stroked="f" coordsize="21600,21600">
                  <v:path/>
                  <v:fill on="f" focussize="0,0"/>
                  <v:stroke on="f"/>
                  <v:imagedata r:id="rId27" o:title=""/>
                  <o:lock v:ext="edit" aspectratio="t"/>
                  <w10:wrap type="none"/>
                  <w10:anchorlock/>
                </v:shape>
                <o:OLEObject Type="Embed" ProgID="Equation.3" ShapeID="_x0000_i1029" DrawAspect="Content" ObjectID="_1468075729" r:id="rId26">
                  <o:LockedField>false</o:LockedField>
                </o:OLEObject>
              </w:object>
            </w:r>
            <w:r>
              <w:rPr>
                <w:rFonts w:ascii="Times New Roman" w:hAnsi="Times New Roman" w:eastAsia="宋体" w:cs="Times New Roman"/>
                <w:color w:val="auto"/>
                <w:sz w:val="24"/>
                <w:szCs w:val="24"/>
              </w:rPr>
              <w:t>≥6.0m、</w:t>
            </w:r>
            <w:r>
              <w:rPr>
                <w:rFonts w:ascii="Times New Roman" w:hAnsi="Times New Roman" w:eastAsia="宋体" w:cs="Times New Roman"/>
                <w:color w:val="auto"/>
                <w:position w:val="-4"/>
                <w:sz w:val="24"/>
                <w:szCs w:val="24"/>
              </w:rPr>
              <w:object>
                <v:shape id="_x0000_i1030" o:spt="75" type="#_x0000_t75" style="height:10.65pt;width:10.65pt;" o:ole="t" filled="f" o:preferrelative="t" stroked="f" coordsize="21600,21600">
                  <v:path/>
                  <v:fill on="f" focussize="0,0"/>
                  <v:stroke on="f"/>
                  <v:imagedata r:id="rId29" o:title=""/>
                  <o:lock v:ext="edit" aspectratio="t"/>
                  <w10:wrap type="none"/>
                  <w10:anchorlock/>
                </v:shape>
                <o:OLEObject Type="Embed" ProgID="Equation.3" ShapeID="_x0000_i1030" DrawAspect="Content" ObjectID="_1468075730" r:id="rId28">
                  <o:LockedField>false</o:LockedField>
                </o:OLEObject>
              </w:object>
            </w:r>
            <w:r>
              <w:rPr>
                <w:rFonts w:ascii="Times New Roman" w:hAnsi="Times New Roman" w:eastAsia="宋体" w:cs="Times New Roman"/>
                <w:color w:val="auto"/>
                <w:sz w:val="24"/>
                <w:szCs w:val="24"/>
              </w:rPr>
              <w:t>≤1.0</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10</w:t>
            </w:r>
            <w:r>
              <w:rPr>
                <w:rFonts w:ascii="Times New Roman" w:hAnsi="Times New Roman" w:eastAsia="宋体" w:cs="Times New Roman"/>
                <w:color w:val="auto"/>
                <w:sz w:val="24"/>
                <w:szCs w:val="24"/>
                <w:vertAlign w:val="superscript"/>
              </w:rPr>
              <w:t>-7</w:t>
            </w:r>
            <w:r>
              <w:rPr>
                <w:rFonts w:ascii="Times New Roman" w:hAnsi="Times New Roman" w:eastAsia="宋体" w:cs="Times New Roman"/>
                <w:color w:val="auto"/>
                <w:sz w:val="24"/>
                <w:szCs w:val="24"/>
              </w:rPr>
              <w:t>cm/s；</w:t>
            </w:r>
            <w:r>
              <w:rPr>
                <w:rFonts w:hint="eastAsia" w:ascii="Times New Roman" w:hAnsi="Times New Roman" w:eastAsia="宋体" w:cs="宋体"/>
                <w:color w:val="auto"/>
                <w:sz w:val="24"/>
                <w:szCs w:val="24"/>
              </w:rPr>
              <w:t>②</w:t>
            </w:r>
            <w:r>
              <w:rPr>
                <w:rFonts w:ascii="Times New Roman" w:hAnsi="Times New Roman" w:eastAsia="宋体" w:cs="Times New Roman"/>
                <w:color w:val="auto"/>
                <w:sz w:val="24"/>
                <w:szCs w:val="24"/>
              </w:rPr>
              <w:t>一般防渗区（原料储库、生产车间、成品储库和一般工业固体废物暂存库）防渗技术要求：等效黏土防</w:t>
            </w:r>
            <w:r>
              <w:rPr>
                <w:rFonts w:ascii="Times New Roman" w:hAnsi="Times New Roman" w:eastAsia="宋体" w:cs="Times New Roman"/>
                <w:color w:val="auto"/>
                <w:kern w:val="24"/>
                <w:sz w:val="24"/>
                <w:szCs w:val="24"/>
              </w:rPr>
              <w:t>渗层</w:t>
            </w:r>
            <w:r>
              <w:rPr>
                <w:rFonts w:ascii="Times New Roman" w:hAnsi="Times New Roman" w:eastAsia="宋体" w:cs="Times New Roman"/>
                <w:color w:val="auto"/>
                <w:position w:val="-6"/>
                <w:sz w:val="24"/>
                <w:szCs w:val="24"/>
              </w:rPr>
              <w:object>
                <v:shape id="_x0000_i1031" o:spt="75" type="#_x0000_t75" style="height:12.5pt;width:16.9pt;" o:ole="t" filled="f" o:preferrelative="t" stroked="f" coordsize="21600,21600">
                  <v:path/>
                  <v:fill on="f" focussize="0,0"/>
                  <v:stroke on="f"/>
                  <v:imagedata r:id="rId27" o:title=""/>
                  <o:lock v:ext="edit" aspectratio="t"/>
                  <w10:wrap type="none"/>
                  <w10:anchorlock/>
                </v:shape>
                <o:OLEObject Type="Embed" ProgID="Equation.3" ShapeID="_x0000_i1031" DrawAspect="Content" ObjectID="_1468075731" r:id="rId30">
                  <o:LockedField>false</o:LockedField>
                </o:OLEObject>
              </w:object>
            </w:r>
            <w:r>
              <w:rPr>
                <w:rFonts w:ascii="Times New Roman" w:hAnsi="Times New Roman" w:eastAsia="宋体" w:cs="Times New Roman"/>
                <w:color w:val="auto"/>
                <w:sz w:val="24"/>
                <w:szCs w:val="24"/>
              </w:rPr>
              <w:t>≥1.5m、</w:t>
            </w:r>
            <w:r>
              <w:rPr>
                <w:rFonts w:ascii="Times New Roman" w:hAnsi="Times New Roman" w:eastAsia="宋体" w:cs="Times New Roman"/>
                <w:color w:val="auto"/>
                <w:position w:val="-4"/>
                <w:sz w:val="24"/>
                <w:szCs w:val="24"/>
              </w:rPr>
              <w:object>
                <v:shape id="_x0000_i1032" o:spt="75" type="#_x0000_t75" style="height:10.65pt;width:10.65pt;" o:ole="t" filled="f" o:preferrelative="t" stroked="f" coordsize="21600,21600">
                  <v:path/>
                  <v:fill on="f" focussize="0,0"/>
                  <v:stroke on="f"/>
                  <v:imagedata r:id="rId29" o:title=""/>
                  <o:lock v:ext="edit" aspectratio="t"/>
                  <w10:wrap type="none"/>
                  <w10:anchorlock/>
                </v:shape>
                <o:OLEObject Type="Embed" ProgID="Equation.3" ShapeID="_x0000_i1032" DrawAspect="Content" ObjectID="_1468075732" r:id="rId31">
                  <o:LockedField>false</o:LockedField>
                </o:OLEObject>
              </w:object>
            </w:r>
            <w:r>
              <w:rPr>
                <w:rFonts w:ascii="Times New Roman" w:hAnsi="Times New Roman" w:eastAsia="宋体" w:cs="Times New Roman"/>
                <w:color w:val="auto"/>
                <w:sz w:val="24"/>
                <w:szCs w:val="24"/>
              </w:rPr>
              <w:t>≤1.0</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10</w:t>
            </w:r>
            <w:r>
              <w:rPr>
                <w:rFonts w:ascii="Times New Roman" w:hAnsi="Times New Roman" w:eastAsia="宋体" w:cs="Times New Roman"/>
                <w:color w:val="auto"/>
                <w:sz w:val="24"/>
                <w:szCs w:val="24"/>
                <w:vertAlign w:val="superscript"/>
              </w:rPr>
              <w:t>-7</w:t>
            </w:r>
            <w:r>
              <w:rPr>
                <w:rFonts w:ascii="Times New Roman" w:hAnsi="Times New Roman" w:eastAsia="宋体" w:cs="Times New Roman"/>
                <w:color w:val="auto"/>
                <w:sz w:val="24"/>
                <w:szCs w:val="24"/>
              </w:rPr>
              <w:t>cm/s；</w:t>
            </w:r>
            <w:r>
              <w:rPr>
                <w:rFonts w:hint="eastAsia" w:ascii="Times New Roman" w:hAnsi="Times New Roman" w:eastAsia="宋体" w:cs="宋体"/>
                <w:color w:val="auto"/>
                <w:sz w:val="24"/>
                <w:szCs w:val="24"/>
              </w:rPr>
              <w:t>③</w:t>
            </w:r>
            <w:r>
              <w:rPr>
                <w:rFonts w:ascii="Times New Roman" w:hAnsi="Times New Roman" w:eastAsia="宋体" w:cs="Times New Roman"/>
                <w:color w:val="auto"/>
                <w:sz w:val="24"/>
                <w:szCs w:val="24"/>
              </w:rPr>
              <w:t>简单防渗区（综合办公室）防渗技术要求：一般地面硬化；本次评价要求建设单位施工期严格按照《地</w:t>
            </w:r>
            <w:r>
              <w:rPr>
                <w:rFonts w:ascii="Times New Roman" w:hAnsi="Times New Roman" w:eastAsia="宋体" w:cs="Times New Roman"/>
                <w:color w:val="auto"/>
                <w:spacing w:val="6"/>
                <w:sz w:val="24"/>
                <w:szCs w:val="24"/>
              </w:rPr>
              <w:t>下水污染源防渗技术指南（试行）》（2020年2月20日实施）中相关要求进行各防渗区防渗工作。</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rPr>
              <w:t>土壤环境影响评价</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本项目危废库、喷漆房、隔油沉淀池和维修车间均按照标准做好了地下水防渗措施，均能做到地面硬化，因此本项目土壤环境影响途径也无地面漫流和垂直入渗途径</w:t>
            </w:r>
            <w:r>
              <w:rPr>
                <w:rFonts w:ascii="Times New Roman" w:hAnsi="Times New Roman" w:eastAsia="宋体" w:cs="Times New Roman"/>
                <w:color w:val="auto"/>
                <w:sz w:val="24"/>
                <w:szCs w:val="24"/>
              </w:rPr>
              <w:t>。</w:t>
            </w:r>
          </w:p>
          <w:p>
            <w:pPr>
              <w:adjustRightInd w:val="0"/>
              <w:snapToGrid w:val="0"/>
              <w:spacing w:line="480" w:lineRule="exact"/>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六、排污口规范化设置</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根据《关于开展排污口规范化整治试点工作的意见》、《关于加快排污口规范化整治试点工作的通知》，企业所有排放口（包括水、气、声、渣）必须按照“便于采集样品、便于计量监测、便于日常现场监督检查”的原则和规范化要求，排污口要立标管理，设立国家标准规定的标志牌，根据排污口污染物的排放特点，设置提示性或警告性环境保护图形标志牌，一般污染源设置提示性标志牌，毒性污染物设置警告性环境保护图形标志牌。</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）合理设置排污口位置，排污口应按规范设计，并按《污染源监测技术规范》设置采样点；本项目2个排气筒（</w:t>
            </w:r>
            <w:r>
              <w:rPr>
                <w:rFonts w:hint="default" w:ascii="Times New Roman" w:hAnsi="Times New Roman" w:eastAsia="宋体" w:cs="Times New Roman"/>
                <w:color w:val="auto"/>
                <w:sz w:val="24"/>
                <w:szCs w:val="24"/>
                <w:lang w:val="en-US" w:eastAsia="zh-CN"/>
              </w:rPr>
              <w:t>FQ001</w:t>
            </w:r>
            <w:r>
              <w:rPr>
                <w:rFonts w:hint="eastAsia" w:ascii="Times New Roman" w:hAnsi="Times New Roman" w:eastAsia="宋体" w:cs="Times New Roman"/>
                <w:color w:val="auto"/>
                <w:sz w:val="24"/>
                <w:szCs w:val="24"/>
                <w:lang w:val="en-US" w:eastAsia="zh-CN"/>
              </w:rPr>
              <w:t>）.</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）按照</w:t>
            </w:r>
            <w:r>
              <w:rPr>
                <w:rFonts w:hint="default" w:ascii="Times New Roman" w:hAnsi="Times New Roman" w:eastAsia="宋体" w:cs="Times New Roman"/>
                <w:color w:val="auto"/>
                <w:sz w:val="24"/>
                <w:szCs w:val="24"/>
                <w:lang w:val="en-US" w:eastAsia="zh-CN"/>
              </w:rPr>
              <w:t>GB15562.1-1995</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lang w:val="en-US" w:eastAsia="zh-CN"/>
              </w:rPr>
              <w:t>GB15562.2-1995</w:t>
            </w:r>
            <w:r>
              <w:rPr>
                <w:rFonts w:hint="eastAsia" w:ascii="Times New Roman" w:hAnsi="Times New Roman" w:eastAsia="宋体" w:cs="Times New Roman"/>
                <w:color w:val="auto"/>
                <w:sz w:val="24"/>
                <w:szCs w:val="24"/>
                <w:lang w:val="en-US" w:eastAsia="zh-CN"/>
              </w:rPr>
              <w:t>《环境保护图形标志》的规定，规范化设置废气排放口、噪声排放口、一般固废堆场图形标志。</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）按照要求填写由原国家环保部统一印制的《中华人民共和国规范化排污口标志登记证》。</w:t>
            </w:r>
          </w:p>
          <w:p>
            <w:pPr>
              <w:adjustRightInd w:val="0"/>
              <w:snapToGrid w:val="0"/>
              <w:spacing w:line="480" w:lineRule="exact"/>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）规范化设置的排污口有关设置属于环境保护设施，应将其纳入本单位设备管理，并选派具有专业知识的专职或兼职人员对排污口进行管理。</w:t>
            </w:r>
          </w:p>
          <w:p>
            <w:pPr>
              <w:jc w:val="center"/>
              <w:rPr>
                <w:rFonts w:ascii="Times New Roman" w:hAnsi="Times New Roman" w:eastAsia="宋体" w:cs="Times New Roman"/>
                <w:color w:val="auto"/>
                <w:sz w:val="24"/>
                <w:szCs w:val="24"/>
              </w:rPr>
            </w:pPr>
            <w:r>
              <w:rPr>
                <w:rFonts w:ascii="Times New Roman" w:hAnsi="Times New Roman" w:eastAsia="宋体"/>
                <w:color w:val="auto"/>
              </w:rPr>
              <w:drawing>
                <wp:inline distT="0" distB="0" distL="114300" distR="114300">
                  <wp:extent cx="5774690" cy="2237740"/>
                  <wp:effectExtent l="0" t="0" r="16510" b="10160"/>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32"/>
                          <a:stretch>
                            <a:fillRect/>
                          </a:stretch>
                        </pic:blipFill>
                        <pic:spPr>
                          <a:xfrm>
                            <a:off x="0" y="0"/>
                            <a:ext cx="5774690" cy="2237740"/>
                          </a:xfrm>
                          <a:prstGeom prst="rect">
                            <a:avLst/>
                          </a:prstGeom>
                          <a:noFill/>
                          <a:ln>
                            <a:noFill/>
                          </a:ln>
                        </pic:spPr>
                      </pic:pic>
                    </a:graphicData>
                  </a:graphic>
                </wp:inline>
              </w:drawing>
            </w:r>
          </w:p>
          <w:p>
            <w:pPr>
              <w:keepNext w:val="0"/>
              <w:keepLines w:val="0"/>
              <w:widowControl/>
              <w:suppressLineNumbers w:val="0"/>
              <w:jc w:val="center"/>
              <w:rPr>
                <w:rFonts w:ascii="Times New Roman" w:hAnsi="Times New Roman" w:eastAsia="宋体"/>
                <w:color w:val="auto"/>
                <w:sz w:val="21"/>
                <w:szCs w:val="21"/>
              </w:rPr>
            </w:pPr>
            <w:r>
              <w:rPr>
                <w:rFonts w:hint="eastAsia" w:ascii="Times New Roman" w:hAnsi="Times New Roman" w:eastAsia="宋体" w:cs="宋体"/>
                <w:b/>
                <w:bCs/>
                <w:color w:val="auto"/>
                <w:kern w:val="0"/>
                <w:sz w:val="21"/>
                <w:szCs w:val="21"/>
                <w:lang w:val="en-US" w:eastAsia="zh-CN" w:bidi="ar"/>
              </w:rPr>
              <w:t>图</w:t>
            </w:r>
            <w:r>
              <w:rPr>
                <w:rFonts w:hint="eastAsia" w:ascii="Times New Roman" w:hAnsi="Times New Roman" w:eastAsia="宋体" w:cs="Times New Roman"/>
                <w:b/>
                <w:bCs/>
                <w:color w:val="auto"/>
                <w:kern w:val="0"/>
                <w:sz w:val="21"/>
                <w:szCs w:val="21"/>
                <w:lang w:val="en-US" w:eastAsia="zh-CN" w:bidi="ar"/>
              </w:rPr>
              <w:t>9</w:t>
            </w:r>
            <w:r>
              <w:rPr>
                <w:rFonts w:hint="eastAsia" w:ascii="Times New Roman" w:hAnsi="Times New Roman" w:eastAsia="宋体" w:cs="宋体"/>
                <w:b/>
                <w:bCs/>
                <w:color w:val="auto"/>
                <w:kern w:val="0"/>
                <w:sz w:val="21"/>
                <w:szCs w:val="21"/>
                <w:lang w:val="en-US" w:eastAsia="zh-CN" w:bidi="ar"/>
              </w:rPr>
              <w:t>各排污口（源）标志牌设置示意图</w:t>
            </w:r>
          </w:p>
          <w:p>
            <w:pPr>
              <w:adjustRightInd w:val="0"/>
              <w:snapToGrid w:val="0"/>
              <w:spacing w:line="480" w:lineRule="exact"/>
              <w:rPr>
                <w:rFonts w:hint="eastAsia" w:ascii="Times New Roman" w:hAnsi="Times New Roman" w:eastAsia="宋体" w:cs="Times New Roman"/>
                <w:color w:val="auto"/>
                <w:sz w:val="24"/>
                <w:szCs w:val="24"/>
                <w:lang w:val="en-US" w:eastAsia="zh-CN"/>
              </w:rPr>
            </w:pPr>
          </w:p>
          <w:p>
            <w:pPr>
              <w:adjustRightInd w:val="0"/>
              <w:snapToGrid w:val="0"/>
              <w:spacing w:line="480" w:lineRule="exac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七、生态环境影响评价</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本次评价未开展生态环境影响评价工作。根据“其他符合性分析”中“（4）项目与柳林县总体规划符合性分析”可知，本项目不违背柳林县城市总体规划、生态功能区划及生态经济区划。</w:t>
            </w:r>
          </w:p>
          <w:p>
            <w:pPr>
              <w:adjustRightInd w:val="0"/>
              <w:snapToGrid w:val="0"/>
              <w:spacing w:line="480" w:lineRule="exac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八、电磁辐射影响分析</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本项目不属于电磁辐射类项目，本次评价未开展电磁辐射影响分析工作。</w:t>
            </w:r>
          </w:p>
          <w:p>
            <w:pPr>
              <w:adjustRightInd w:val="0"/>
              <w:snapToGrid w:val="0"/>
              <w:spacing w:line="480" w:lineRule="exac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九、专项评价</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开展专项评价的环境要素，应在表格中填写主要环境影响评价结论，本项目不需开展专项评价。</w:t>
            </w: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hint="eastAsia" w:ascii="Times New Roman" w:hAnsi="Times New Roman" w:eastAsia="宋体" w:cs="Times New Roman"/>
                <w:color w:val="auto"/>
                <w:sz w:val="24"/>
                <w:szCs w:val="24"/>
                <w:lang w:val="en-US" w:eastAsia="zh-CN"/>
              </w:rPr>
            </w:pPr>
          </w:p>
          <w:p>
            <w:pPr>
              <w:adjustRightInd w:val="0"/>
              <w:snapToGrid w:val="0"/>
              <w:spacing w:line="480" w:lineRule="exact"/>
              <w:ind w:firstLine="480" w:firstLineChars="200"/>
              <w:rPr>
                <w:rFonts w:ascii="Times New Roman" w:hAnsi="Times New Roman" w:eastAsia="宋体" w:cs="Times New Roman"/>
                <w:color w:val="auto"/>
                <w:kern w:val="0"/>
                <w:sz w:val="24"/>
                <w:szCs w:val="24"/>
              </w:rPr>
            </w:pPr>
          </w:p>
        </w:tc>
      </w:tr>
    </w:tbl>
    <w:p>
      <w:pPr>
        <w:rPr>
          <w:rFonts w:ascii="Times New Roman" w:hAnsi="Times New Roman" w:eastAsia="宋体"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156" w:beforeLines="50" w:after="156" w:afterLines="50" w:line="240" w:lineRule="auto"/>
        <w:ind w:left="0" w:firstLine="0"/>
        <w:jc w:val="center"/>
        <w:rPr>
          <w:rFonts w:ascii="Times New Roman" w:hAnsi="Times New Roman" w:eastAsia="宋体"/>
          <w:b w:val="0"/>
          <w:bCs w:val="0"/>
          <w:color w:val="auto"/>
        </w:rPr>
      </w:pPr>
      <w:r>
        <w:rPr>
          <w:rFonts w:ascii="Times New Roman" w:hAnsi="Times New Roman" w:eastAsia="宋体"/>
          <w:b w:val="0"/>
          <w:bCs w:val="0"/>
          <w:color w:val="auto"/>
        </w:rPr>
        <w:t>五、</w:t>
      </w:r>
      <w:bookmarkStart w:id="1" w:name="_Hlk54167917"/>
      <w:r>
        <w:rPr>
          <w:rFonts w:ascii="Times New Roman" w:hAnsi="Times New Roman" w:eastAsia="宋体"/>
          <w:b w:val="0"/>
          <w:bCs w:val="0"/>
          <w:color w:val="auto"/>
        </w:rPr>
        <w:t>环境保护措施监督检查清单</w:t>
      </w:r>
      <w:bookmarkEnd w:id="1"/>
    </w:p>
    <w:tbl>
      <w:tblPr>
        <w:tblStyle w:val="20"/>
        <w:tblW w:w="15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367"/>
        <w:gridCol w:w="964"/>
        <w:gridCol w:w="1638"/>
        <w:gridCol w:w="6781"/>
        <w:gridCol w:w="3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tcPr>
          <w:p>
            <w:pPr>
              <w:pageBreakBefore w:val="0"/>
              <w:widowControl w:val="0"/>
              <w:kinsoku/>
              <w:wordWrap/>
              <w:overflowPunct/>
              <w:topLinePunct w:val="0"/>
              <w:bidi w:val="0"/>
              <w:adjustRightInd w:val="0"/>
              <w:spacing w:line="240" w:lineRule="atLeast"/>
              <w:jc w:val="right"/>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-68580</wp:posOffset>
                      </wp:positionH>
                      <wp:positionV relativeFrom="paragraph">
                        <wp:posOffset>-2540</wp:posOffset>
                      </wp:positionV>
                      <wp:extent cx="644525" cy="387350"/>
                      <wp:effectExtent l="2540" t="3810" r="19685" b="8890"/>
                      <wp:wrapNone/>
                      <wp:docPr id="5" name="直接连接符 5"/>
                      <wp:cNvGraphicFramePr/>
                      <a:graphic xmlns:a="http://schemas.openxmlformats.org/drawingml/2006/main">
                        <a:graphicData uri="http://schemas.microsoft.com/office/word/2010/wordprocessingShape">
                          <wps:wsp>
                            <wps:cNvCnPr/>
                            <wps:spPr>
                              <a:xfrm>
                                <a:off x="0" y="0"/>
                                <a:ext cx="644525" cy="387350"/>
                              </a:xfrm>
                              <a:prstGeom prst="line">
                                <a:avLst/>
                              </a:prstGeom>
                              <a:noFill/>
                              <a:ln w="6350" cap="flat" cmpd="sng" algn="ctr">
                                <a:solidFill>
                                  <a:srgbClr val="000000"/>
                                </a:solidFill>
                                <a:prstDash val="solid"/>
                              </a:ln>
                              <a:effectLst/>
                            </wps:spPr>
                            <wps:bodyPr/>
                          </wps:wsp>
                        </a:graphicData>
                      </a:graphic>
                    </wp:anchor>
                  </w:drawing>
                </mc:Choice>
                <mc:Fallback>
                  <w:pict>
                    <v:line id="_x0000_s1026" o:spid="_x0000_s1026" o:spt="20" style="position:absolute;left:0pt;margin-left:-5.4pt;margin-top:-0.2pt;height:30.5pt;width:50.75pt;z-index:251660288;mso-width-relative:page;mso-height-relative:page;" filled="f" stroked="t" coordsize="21600,21600" o:gfxdata="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DvhQ9QAAAAHAQAADwAA&#10;AAAAAAABACAAAAAiAAAAZHJzL2Rvd25yZXYueG1sUEsBAhQAFAAAAAgAh07iQPJE7BPhAQAArAMA&#10;AA4AAAAAAAAAAQAgAAAAIwEAAGRycy9lMm9Eb2MueG1sUEsFBgAAAAAGAAYAWQEAAHYFAAAAAA==&#10;">
                      <v:fill on="f" focussize="0,0"/>
                      <v:stroke weight="0.5pt" color="#000000" joinstyle="round"/>
                      <v:imagedata o:title=""/>
                      <o:lock v:ext="edit" aspectratio="f"/>
                    </v:line>
                  </w:pict>
                </mc:Fallback>
              </mc:AlternateContent>
            </w:r>
            <w:r>
              <w:rPr>
                <w:rFonts w:ascii="Times New Roman" w:hAnsi="Times New Roman" w:eastAsia="宋体" w:cs="Times New Roman"/>
                <w:color w:val="auto"/>
                <w:sz w:val="21"/>
                <w:szCs w:val="21"/>
                <w:lang w:val="zh-CN"/>
              </w:rPr>
              <w:t>内容</w:t>
            </w:r>
          </w:p>
          <w:p>
            <w:pPr>
              <w:pageBreakBefore w:val="0"/>
              <w:widowControl w:val="0"/>
              <w:kinsoku/>
              <w:wordWrap/>
              <w:overflowPunct/>
              <w:topLinePunct w:val="0"/>
              <w:bidi w:val="0"/>
              <w:adjustRightInd w:val="0"/>
              <w:spacing w:line="240" w:lineRule="atLeast"/>
              <w:jc w:val="left"/>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要素</w:t>
            </w:r>
          </w:p>
        </w:tc>
        <w:tc>
          <w:tcPr>
            <w:tcW w:w="1367"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污染源</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排放口编号</w:t>
            </w:r>
          </w:p>
        </w:tc>
        <w:tc>
          <w:tcPr>
            <w:tcW w:w="1638"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污染物项目</w:t>
            </w:r>
          </w:p>
        </w:tc>
        <w:tc>
          <w:tcPr>
            <w:tcW w:w="6781"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环境保护措施</w:t>
            </w:r>
          </w:p>
        </w:tc>
        <w:tc>
          <w:tcPr>
            <w:tcW w:w="3320"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restart"/>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大气环境</w:t>
            </w:r>
          </w:p>
        </w:tc>
        <w:tc>
          <w:tcPr>
            <w:tcW w:w="1367" w:type="dxa"/>
            <w:tcBorders>
              <w:tl2br w:val="nil"/>
              <w:tr2bl w:val="nil"/>
            </w:tcBorders>
            <w:vAlign w:val="center"/>
          </w:tcPr>
          <w:p>
            <w:pPr>
              <w:pStyle w:val="5"/>
              <w:pageBreakBefore w:val="0"/>
              <w:widowControl w:val="0"/>
              <w:kinsoku/>
              <w:wordWrap/>
              <w:overflowPunct/>
              <w:topLinePunct w:val="0"/>
              <w:bidi w:val="0"/>
              <w:spacing w:before="0" w:after="0"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切割工序</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DA001</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颗粒物</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含尘废气由集气罩收集，经过布袋除尘器处理后经15m烟囱排放</w:t>
            </w:r>
          </w:p>
        </w:tc>
        <w:tc>
          <w:tcPr>
            <w:tcW w:w="3320" w:type="dxa"/>
            <w:vMerge w:val="restart"/>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default" w:ascii="Times New Roman" w:hAnsi="Times New Roman" w:eastAsia="宋体" w:cstheme="minorBidi"/>
                <w:b w:val="0"/>
                <w:bCs w:val="0"/>
                <w:snapToGrid w:val="0"/>
                <w:color w:val="auto"/>
                <w:kern w:val="2"/>
                <w:sz w:val="21"/>
                <w:szCs w:val="21"/>
                <w:lang w:val="en-US" w:eastAsia="zh-CN" w:bidi="ar-SA"/>
              </w:rPr>
              <w:t>执行《大气污染物综合排放标准》（GB16297-1996）表2中二级标准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tcBorders>
              <w:tl2br w:val="nil"/>
              <w:tr2bl w:val="nil"/>
            </w:tcBorders>
            <w:vAlign w:val="center"/>
          </w:tcPr>
          <w:p>
            <w:pPr>
              <w:pStyle w:val="5"/>
              <w:pageBreakBefore w:val="0"/>
              <w:widowControl w:val="0"/>
              <w:kinsoku/>
              <w:wordWrap/>
              <w:overflowPunct/>
              <w:topLinePunct w:val="0"/>
              <w:bidi w:val="0"/>
              <w:spacing w:before="0" w:after="0"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焊接工序</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DA002</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颗粒物</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含尘废气由集气罩收集，经过布袋除尘器处理后经15m烟囱排放</w:t>
            </w: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tcBorders>
              <w:tl2br w:val="nil"/>
              <w:tr2bl w:val="nil"/>
            </w:tcBorders>
            <w:vAlign w:val="center"/>
          </w:tcPr>
          <w:p>
            <w:pPr>
              <w:pStyle w:val="5"/>
              <w:pageBreakBefore w:val="0"/>
              <w:widowControl w:val="0"/>
              <w:kinsoku/>
              <w:wordWrap/>
              <w:overflowPunct/>
              <w:topLinePunct w:val="0"/>
              <w:bidi w:val="0"/>
              <w:spacing w:before="0" w:after="0"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喷砂工序</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DA003</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颗粒物</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喷砂车间全封闭，喷砂过程中产生的废气经喷砂机自带布袋除尘器处理后经15m高排气筒排放</w:t>
            </w: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tcBorders>
              <w:tl2br w:val="nil"/>
              <w:tr2bl w:val="nil"/>
            </w:tcBorders>
            <w:vAlign w:val="center"/>
          </w:tcPr>
          <w:p>
            <w:pPr>
              <w:pStyle w:val="5"/>
              <w:pageBreakBefore w:val="0"/>
              <w:widowControl w:val="0"/>
              <w:kinsoku/>
              <w:wordWrap/>
              <w:overflowPunct/>
              <w:topLinePunct w:val="0"/>
              <w:bidi w:val="0"/>
              <w:spacing w:before="0" w:after="0"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喷漆、烘干工序</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DA004</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颗粒物、非甲烷总烃</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喷漆车间及烘干车间全封闭，喷漆及烘干过程产生的有机废气经</w:t>
            </w:r>
            <w:r>
              <w:rPr>
                <w:rFonts w:hint="default" w:ascii="Times New Roman" w:hAnsi="Times New Roman" w:eastAsia="宋体" w:cstheme="minorBidi"/>
                <w:b w:val="0"/>
                <w:bCs w:val="0"/>
                <w:snapToGrid w:val="0"/>
                <w:color w:val="auto"/>
                <w:kern w:val="2"/>
                <w:sz w:val="21"/>
                <w:szCs w:val="21"/>
                <w:lang w:val="en-US" w:eastAsia="zh-CN" w:bidi="ar-SA"/>
              </w:rPr>
              <w:t>滤棉+</w:t>
            </w:r>
            <w:r>
              <w:rPr>
                <w:rFonts w:hint="eastAsia" w:ascii="Times New Roman" w:hAnsi="Times New Roman" w:eastAsia="宋体" w:cstheme="minorBidi"/>
                <w:b w:val="0"/>
                <w:bCs w:val="0"/>
                <w:snapToGrid w:val="0"/>
                <w:color w:val="auto"/>
                <w:kern w:val="2"/>
                <w:sz w:val="21"/>
                <w:szCs w:val="21"/>
                <w:lang w:val="en-US" w:eastAsia="zh-CN" w:bidi="ar-SA"/>
              </w:rPr>
              <w:t>活性炭吸附/脱附+催化燃烧处理后，经15m烟筒排放。收集效率为95%，过滤棉净化效率为80%，活性炭吸附/脱附+催化燃烧去除率90%，</w:t>
            </w:r>
          </w:p>
        </w:tc>
        <w:tc>
          <w:tcPr>
            <w:tcW w:w="3320"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default" w:ascii="Times New Roman" w:hAnsi="Times New Roman" w:eastAsia="宋体" w:cstheme="minorBidi"/>
                <w:b w:val="0"/>
                <w:bCs w:val="0"/>
                <w:snapToGrid w:val="0"/>
                <w:color w:val="auto"/>
                <w:kern w:val="2"/>
                <w:sz w:val="21"/>
                <w:szCs w:val="21"/>
                <w:lang w:val="en-US" w:eastAsia="zh-CN" w:bidi="ar-SA"/>
              </w:rPr>
              <w:t>漆雾中颗粒物执行《大气污染物综合排放标准》（GB16297-1996）表2中的二级标准</w:t>
            </w:r>
            <w:r>
              <w:rPr>
                <w:rFonts w:hint="eastAsia" w:ascii="Times New Roman" w:hAnsi="Times New Roman" w:eastAsia="宋体" w:cstheme="minorBidi"/>
                <w:b w:val="0"/>
                <w:bCs w:val="0"/>
                <w:snapToGrid w:val="0"/>
                <w:color w:val="auto"/>
                <w:kern w:val="2"/>
                <w:sz w:val="21"/>
                <w:szCs w:val="21"/>
                <w:lang w:val="en-US" w:eastAsia="zh-CN" w:bidi="ar-SA"/>
              </w:rPr>
              <w:t>；</w:t>
            </w:r>
            <w:r>
              <w:rPr>
                <w:rFonts w:hint="default" w:ascii="Times New Roman" w:hAnsi="Times New Roman" w:eastAsia="宋体" w:cstheme="minorBidi"/>
                <w:b w:val="0"/>
                <w:bCs w:val="0"/>
                <w:snapToGrid w:val="0"/>
                <w:color w:val="auto"/>
                <w:kern w:val="2"/>
                <w:sz w:val="21"/>
                <w:szCs w:val="21"/>
                <w:lang w:val="en-US" w:eastAsia="zh-CN" w:bidi="ar-SA"/>
              </w:rPr>
              <w:t>非甲烷总烃参照执行《山西省重点行业挥发性有机物2017年专项治理方案》表一、表二工业涂装行业限值要求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restart"/>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地表水</w:t>
            </w:r>
          </w:p>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环境</w:t>
            </w:r>
          </w:p>
        </w:tc>
        <w:tc>
          <w:tcPr>
            <w:tcW w:w="1367"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zh-CN" w:eastAsia="zh-CN" w:bidi="ar-SA"/>
              </w:rPr>
              <w:t>生产加工</w:t>
            </w:r>
          </w:p>
        </w:tc>
        <w:tc>
          <w:tcPr>
            <w:tcW w:w="964"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CODcr、BOD</w:t>
            </w:r>
            <w:r>
              <w:rPr>
                <w:rFonts w:hint="eastAsia" w:ascii="Times New Roman" w:hAnsi="Times New Roman" w:eastAsia="宋体" w:cstheme="minorBidi"/>
                <w:b w:val="0"/>
                <w:bCs w:val="0"/>
                <w:snapToGrid w:val="0"/>
                <w:color w:val="auto"/>
                <w:kern w:val="2"/>
                <w:sz w:val="21"/>
                <w:szCs w:val="21"/>
                <w:vertAlign w:val="subscript"/>
                <w:lang w:val="en-US" w:eastAsia="zh-CN" w:bidi="ar-SA"/>
              </w:rPr>
              <w:t>5</w:t>
            </w:r>
            <w:r>
              <w:rPr>
                <w:rFonts w:hint="eastAsia" w:ascii="Times New Roman" w:hAnsi="Times New Roman" w:eastAsia="宋体" w:cstheme="minorBidi"/>
                <w:b w:val="0"/>
                <w:bCs w:val="0"/>
                <w:snapToGrid w:val="0"/>
                <w:color w:val="auto"/>
                <w:kern w:val="2"/>
                <w:sz w:val="21"/>
                <w:szCs w:val="21"/>
                <w:lang w:val="en-US" w:eastAsia="zh-CN" w:bidi="ar-SA"/>
              </w:rPr>
              <w:t>、氨氮、SS、石油类</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进入含油废水处理系统，工艺主要为加药絮凝沉淀，处理后回用于设备冲洗，不外排</w:t>
            </w:r>
          </w:p>
        </w:tc>
        <w:tc>
          <w:tcPr>
            <w:tcW w:w="3320" w:type="dxa"/>
            <w:vMerge w:val="restart"/>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zh-CN" w:eastAsia="zh-CN" w:bidi="ar-SA"/>
              </w:rPr>
              <w:t>职工办公生活</w:t>
            </w:r>
          </w:p>
        </w:tc>
        <w:tc>
          <w:tcPr>
            <w:tcW w:w="964"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CODcr、BOD</w:t>
            </w:r>
            <w:r>
              <w:rPr>
                <w:rFonts w:hint="eastAsia" w:ascii="Times New Roman" w:hAnsi="Times New Roman" w:eastAsia="宋体" w:cstheme="minorBidi"/>
                <w:b w:val="0"/>
                <w:bCs w:val="0"/>
                <w:snapToGrid w:val="0"/>
                <w:color w:val="auto"/>
                <w:kern w:val="2"/>
                <w:sz w:val="21"/>
                <w:szCs w:val="21"/>
                <w:vertAlign w:val="subscript"/>
                <w:lang w:val="en-US" w:eastAsia="zh-CN" w:bidi="ar-SA"/>
              </w:rPr>
              <w:t>5</w:t>
            </w:r>
            <w:r>
              <w:rPr>
                <w:rFonts w:hint="eastAsia" w:ascii="Times New Roman" w:hAnsi="Times New Roman" w:eastAsia="宋体" w:cstheme="minorBidi"/>
                <w:b w:val="0"/>
                <w:bCs w:val="0"/>
                <w:snapToGrid w:val="0"/>
                <w:color w:val="auto"/>
                <w:kern w:val="2"/>
                <w:sz w:val="21"/>
                <w:szCs w:val="21"/>
                <w:lang w:val="en-US" w:eastAsia="zh-CN" w:bidi="ar-SA"/>
              </w:rPr>
              <w:t>、氨氮SS</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default"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imes New Roman"/>
                <w:color w:val="auto"/>
                <w:szCs w:val="21"/>
                <w:lang w:val="en-US" w:eastAsia="zh-CN"/>
              </w:rPr>
              <w:t>生活污水主要是洗漱废水，经沉淀池收集</w:t>
            </w:r>
            <w:r>
              <w:rPr>
                <w:rFonts w:hint="eastAsia" w:ascii="Times New Roman" w:hAnsi="Times New Roman" w:eastAsia="宋体" w:cs="Times New Roman"/>
                <w:color w:val="auto"/>
                <w:szCs w:val="21"/>
              </w:rPr>
              <w:t>后回用</w:t>
            </w:r>
            <w:r>
              <w:rPr>
                <w:rFonts w:hint="eastAsia" w:ascii="Times New Roman" w:hAnsi="Times New Roman" w:eastAsia="宋体" w:cs="Times New Roman"/>
                <w:color w:val="auto"/>
                <w:szCs w:val="21"/>
                <w:lang w:val="en-US" w:eastAsia="zh-CN"/>
              </w:rPr>
              <w:t>于绿化、道路洒水</w:t>
            </w:r>
            <w:r>
              <w:rPr>
                <w:rFonts w:hint="eastAsia" w:ascii="Times New Roman" w:hAnsi="Times New Roman" w:eastAsia="宋体" w:cstheme="minorBidi"/>
                <w:b w:val="0"/>
                <w:bCs w:val="0"/>
                <w:snapToGrid w:val="0"/>
                <w:color w:val="auto"/>
                <w:kern w:val="2"/>
                <w:sz w:val="21"/>
                <w:szCs w:val="21"/>
                <w:lang w:val="en-US" w:eastAsia="zh-CN" w:bidi="ar-SA"/>
              </w:rPr>
              <w:t>，不外排</w:t>
            </w:r>
          </w:p>
        </w:tc>
        <w:tc>
          <w:tcPr>
            <w:tcW w:w="3320" w:type="dxa"/>
            <w:vMerge w:val="continue"/>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声环境</w:t>
            </w:r>
          </w:p>
        </w:tc>
        <w:tc>
          <w:tcPr>
            <w:tcW w:w="1367"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产噪设备</w:t>
            </w:r>
          </w:p>
        </w:tc>
        <w:tc>
          <w:tcPr>
            <w:tcW w:w="964"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噪声</w:t>
            </w:r>
          </w:p>
        </w:tc>
        <w:tc>
          <w:tcPr>
            <w:tcW w:w="6781"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设备选择：在满足生产工艺的前提下，优先选择低噪声设备或具有消音隔声装置的设备，从源头降低噪声；设备布局：综合考虑地形、声源方向性和噪声强弱等因素，充分利用厂内建筑物的隔声作用合理布置设备；设备安装：采取减震措施；设备维护：定期维护设备，确保设备处于良好的运行状态，杜绝因设备不正常运转产生高噪声的现象</w:t>
            </w:r>
          </w:p>
        </w:tc>
        <w:tc>
          <w:tcPr>
            <w:tcW w:w="3320"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zh-CN" w:eastAsia="zh-CN" w:bidi="ar-SA"/>
              </w:rPr>
              <w:t>《工业企业厂界环境噪声排放标准》（GB12348-2008）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电磁辐射</w:t>
            </w:r>
          </w:p>
        </w:tc>
        <w:tc>
          <w:tcPr>
            <w:tcW w:w="14070" w:type="dxa"/>
            <w:gridSpan w:val="5"/>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本项目不属于电磁辐射类项目，本次评价未开展电磁辐射影响分析工作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restart"/>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固体废物</w:t>
            </w:r>
          </w:p>
        </w:tc>
        <w:tc>
          <w:tcPr>
            <w:tcW w:w="1367" w:type="dxa"/>
            <w:vMerge w:val="restart"/>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zh-CN" w:eastAsia="zh-CN" w:bidi="ar-SA"/>
              </w:rPr>
            </w:pPr>
            <w:r>
              <w:rPr>
                <w:rFonts w:hint="eastAsia" w:ascii="Times New Roman" w:hAnsi="Times New Roman" w:eastAsia="宋体" w:cstheme="minorBidi"/>
                <w:b w:val="0"/>
                <w:bCs w:val="0"/>
                <w:snapToGrid w:val="0"/>
                <w:color w:val="auto"/>
                <w:kern w:val="2"/>
                <w:sz w:val="21"/>
                <w:szCs w:val="21"/>
                <w:lang w:val="zh-CN" w:eastAsia="zh-CN" w:bidi="ar-SA"/>
              </w:rPr>
              <w:t>生产过程</w:t>
            </w:r>
          </w:p>
        </w:tc>
        <w:tc>
          <w:tcPr>
            <w:tcW w:w="964"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hint="eastAsia" w:ascii="Times New Roman" w:hAnsi="Times New Roman" w:eastAsia="宋体" w:cstheme="minorBidi"/>
                <w:b w:val="0"/>
                <w:bCs w:val="0"/>
                <w:snapToGrid w:val="0"/>
                <w:color w:val="auto"/>
                <w:kern w:val="2"/>
                <w:sz w:val="21"/>
                <w:szCs w:val="21"/>
                <w:lang w:val="zh-CN" w:eastAsia="zh-CN" w:bidi="ar-SA"/>
              </w:rPr>
            </w:pPr>
            <w:r>
              <w:rPr>
                <w:rFonts w:hint="eastAsia" w:ascii="Times New Roman" w:hAnsi="Times New Roman" w:eastAsia="宋体" w:cstheme="minorBidi"/>
                <w:b w:val="0"/>
                <w:bCs w:val="0"/>
                <w:snapToGrid w:val="0"/>
                <w:color w:val="auto"/>
                <w:kern w:val="2"/>
                <w:sz w:val="21"/>
                <w:szCs w:val="21"/>
                <w:lang w:val="en-US" w:eastAsia="zh-CN" w:bidi="ar-SA"/>
              </w:rPr>
              <w:t>/</w:t>
            </w:r>
          </w:p>
        </w:tc>
        <w:tc>
          <w:tcPr>
            <w:tcW w:w="1638"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zh-CN" w:eastAsia="zh-CN" w:bidi="ar-SA"/>
              </w:rPr>
            </w:pPr>
            <w:r>
              <w:rPr>
                <w:rFonts w:hint="eastAsia" w:ascii="Times New Roman" w:hAnsi="Times New Roman" w:eastAsia="宋体" w:cstheme="minorBidi"/>
                <w:b w:val="0"/>
                <w:bCs w:val="0"/>
                <w:snapToGrid w:val="0"/>
                <w:color w:val="auto"/>
                <w:kern w:val="2"/>
                <w:sz w:val="21"/>
                <w:szCs w:val="21"/>
                <w:lang w:val="en-US" w:eastAsia="zh-CN" w:bidi="ar-SA"/>
              </w:rPr>
              <w:t>边角料，铁屑等</w:t>
            </w:r>
          </w:p>
        </w:tc>
        <w:tc>
          <w:tcPr>
            <w:tcW w:w="6781" w:type="dxa"/>
            <w:vMerge w:val="restart"/>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eastAsia" w:ascii="Times New Roman" w:hAnsi="Times New Roman" w:eastAsia="宋体" w:cstheme="minorBidi"/>
                <w:b w:val="0"/>
                <w:bCs w:val="0"/>
                <w:snapToGrid w:val="0"/>
                <w:color w:val="auto"/>
                <w:kern w:val="2"/>
                <w:sz w:val="21"/>
                <w:szCs w:val="21"/>
                <w:lang w:val="en-US" w:eastAsia="zh-CN" w:bidi="ar-SA"/>
              </w:rPr>
              <w:t>统一收集后外售当地废品回收公司。</w:t>
            </w:r>
          </w:p>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zh-CN" w:eastAsia="zh-CN" w:bidi="ar-SA"/>
              </w:rPr>
            </w:pPr>
            <w:r>
              <w:rPr>
                <w:rFonts w:hint="eastAsia" w:ascii="Times New Roman" w:hAnsi="Times New Roman" w:eastAsia="宋体" w:cstheme="minorBidi"/>
                <w:b w:val="0"/>
                <w:bCs w:val="0"/>
                <w:snapToGrid w:val="0"/>
                <w:color w:val="auto"/>
                <w:kern w:val="2"/>
                <w:sz w:val="21"/>
                <w:szCs w:val="21"/>
                <w:lang w:val="en-US" w:eastAsia="zh-CN" w:bidi="ar-SA"/>
              </w:rPr>
              <w:t>位于厂区内暂存，要求做到分区堆存，经收集后由废品公司统一回收。需设做好防风、防雨、防晒措施，地面做一般防渗处理，抗渗混凝土，混凝土强度等级不应低于P6，其厚度不宜小于100mm，抗渗混凝土的渗透系数小于10</w:t>
            </w:r>
            <w:r>
              <w:rPr>
                <w:rFonts w:hint="eastAsia" w:ascii="Times New Roman" w:hAnsi="Times New Roman" w:eastAsia="宋体" w:cstheme="minorBidi"/>
                <w:b w:val="0"/>
                <w:bCs w:val="0"/>
                <w:snapToGrid w:val="0"/>
                <w:color w:val="auto"/>
                <w:kern w:val="2"/>
                <w:sz w:val="21"/>
                <w:szCs w:val="21"/>
                <w:vertAlign w:val="superscript"/>
                <w:lang w:val="en-US" w:eastAsia="zh-CN" w:bidi="ar-SA"/>
              </w:rPr>
              <w:t>-7</w:t>
            </w:r>
            <w:r>
              <w:rPr>
                <w:rFonts w:hint="eastAsia" w:ascii="Times New Roman" w:hAnsi="Times New Roman" w:eastAsia="宋体" w:cstheme="minorBidi"/>
                <w:b w:val="0"/>
                <w:bCs w:val="0"/>
                <w:snapToGrid w:val="0"/>
                <w:color w:val="auto"/>
                <w:kern w:val="2"/>
                <w:sz w:val="21"/>
                <w:szCs w:val="21"/>
                <w:lang w:val="en-US" w:eastAsia="zh-CN" w:bidi="ar-SA"/>
              </w:rPr>
              <w:t>cm/s。</w:t>
            </w:r>
          </w:p>
        </w:tc>
        <w:tc>
          <w:tcPr>
            <w:tcW w:w="3320" w:type="dxa"/>
            <w:vMerge w:val="restart"/>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textAlignment w:val="auto"/>
              <w:rPr>
                <w:rFonts w:hint="eastAsia" w:ascii="Times New Roman" w:hAnsi="Times New Roman" w:eastAsia="宋体" w:cstheme="minorBidi"/>
                <w:b w:val="0"/>
                <w:bCs w:val="0"/>
                <w:snapToGrid w:val="0"/>
                <w:color w:val="auto"/>
                <w:kern w:val="2"/>
                <w:sz w:val="21"/>
                <w:szCs w:val="21"/>
                <w:lang w:val="en-US" w:eastAsia="zh-CN" w:bidi="ar-SA"/>
              </w:rPr>
            </w:pPr>
            <w:r>
              <w:rPr>
                <w:rFonts w:hint="default" w:ascii="Times New Roman" w:hAnsi="Times New Roman" w:eastAsia="宋体" w:cstheme="minorBidi"/>
                <w:b w:val="0"/>
                <w:bCs w:val="0"/>
                <w:snapToGrid w:val="0"/>
                <w:color w:val="auto"/>
                <w:kern w:val="2"/>
                <w:sz w:val="21"/>
                <w:szCs w:val="21"/>
                <w:lang w:val="en-US" w:eastAsia="zh-CN" w:bidi="ar-SA"/>
              </w:rPr>
              <w:t>一般固体废物处置执行《一般工业固体废物贮存、处置场污染控制标准》（GB18599-2001）有关规定及关于发布《一般工业固体废物贮存、处置场污染控制标准》（GB18599-2001）等3项国家污染物控制标准修改单的公告（环境保护部公告2013年第36号）；废油漆桶、废活性炭等危险废物执行《危险废物贮存污染控制标准》GB18596-2001及2013年环保部36号文中修改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vMerge w:val="continue"/>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rPr>
            </w:pP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163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hint="eastAsia" w:ascii="Times New Roman" w:hAnsi="Times New Roman" w:eastAsia="宋体" w:cs="宋体"/>
                <w:color w:val="auto"/>
                <w:kern w:val="0"/>
                <w:sz w:val="21"/>
                <w:szCs w:val="21"/>
                <w:lang w:val="en-US" w:eastAsia="zh-CN" w:bidi="ar"/>
              </w:rPr>
              <w:t>除尘灰</w:t>
            </w:r>
          </w:p>
        </w:tc>
        <w:tc>
          <w:tcPr>
            <w:tcW w:w="6781" w:type="dxa"/>
            <w:vMerge w:val="continue"/>
            <w:tcBorders>
              <w:tl2br w:val="nil"/>
              <w:tr2bl w:val="nil"/>
            </w:tcBorders>
            <w:vAlign w:val="center"/>
          </w:tcPr>
          <w:p>
            <w:pPr>
              <w:pageBreakBefore w:val="0"/>
              <w:widowControl w:val="0"/>
              <w:kinsoku/>
              <w:wordWrap/>
              <w:overflowPunct/>
              <w:topLinePunct w:val="0"/>
              <w:bidi w:val="0"/>
              <w:adjustRightInd w:val="0"/>
              <w:spacing w:line="240" w:lineRule="atLeast"/>
              <w:textAlignment w:val="auto"/>
              <w:rPr>
                <w:rFonts w:ascii="Times New Roman" w:hAnsi="Times New Roman" w:eastAsia="宋体" w:cs="Times New Roman"/>
                <w:color w:val="auto"/>
                <w:sz w:val="21"/>
                <w:szCs w:val="21"/>
                <w:lang w:val="zh-CN"/>
              </w:rPr>
            </w:pP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vMerge w:val="continue"/>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rPr>
            </w:pP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163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hint="default" w:ascii="Times New Roman" w:hAnsi="Times New Roman" w:eastAsia="宋体" w:cs="宋体"/>
                <w:color w:val="auto"/>
                <w:kern w:val="0"/>
                <w:sz w:val="21"/>
                <w:szCs w:val="21"/>
                <w:lang w:val="en-US" w:eastAsia="zh-CN" w:bidi="ar"/>
              </w:rPr>
            </w:pPr>
            <w:r>
              <w:rPr>
                <w:rFonts w:hint="eastAsia" w:ascii="Times New Roman" w:hAnsi="Times New Roman" w:eastAsia="宋体" w:cs="宋体"/>
                <w:color w:val="auto"/>
                <w:kern w:val="0"/>
                <w:sz w:val="21"/>
                <w:szCs w:val="21"/>
                <w:lang w:val="en-US" w:eastAsia="zh-CN" w:bidi="ar"/>
              </w:rPr>
              <w:t>废焊条</w:t>
            </w:r>
          </w:p>
        </w:tc>
        <w:tc>
          <w:tcPr>
            <w:tcW w:w="6781" w:type="dxa"/>
            <w:vMerge w:val="continue"/>
            <w:tcBorders>
              <w:tl2br w:val="nil"/>
              <w:tr2bl w:val="nil"/>
            </w:tcBorders>
            <w:vAlign w:val="center"/>
          </w:tcPr>
          <w:p>
            <w:pPr>
              <w:pageBreakBefore w:val="0"/>
              <w:widowControl w:val="0"/>
              <w:kinsoku/>
              <w:wordWrap/>
              <w:overflowPunct/>
              <w:topLinePunct w:val="0"/>
              <w:bidi w:val="0"/>
              <w:adjustRightInd w:val="0"/>
              <w:spacing w:line="240" w:lineRule="atLeast"/>
              <w:textAlignment w:val="auto"/>
              <w:rPr>
                <w:rFonts w:ascii="Times New Roman" w:hAnsi="Times New Roman" w:eastAsia="宋体" w:cs="Times New Roman"/>
                <w:color w:val="auto"/>
                <w:sz w:val="21"/>
                <w:szCs w:val="21"/>
                <w:lang w:val="zh-CN"/>
              </w:rPr>
            </w:pP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vMerge w:val="continue"/>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163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hint="eastAsia" w:ascii="Times New Roman" w:hAnsi="Times New Roman" w:eastAsia="宋体" w:cs="宋体"/>
                <w:color w:val="auto"/>
                <w:kern w:val="0"/>
                <w:sz w:val="21"/>
                <w:szCs w:val="21"/>
                <w:lang w:val="en-US" w:eastAsia="zh-CN" w:bidi="ar"/>
              </w:rPr>
              <w:t>废漆桶</w:t>
            </w:r>
            <w:r>
              <w:rPr>
                <w:rFonts w:hint="eastAsia" w:ascii="Times New Roman" w:hAnsi="Times New Roman" w:eastAsia="宋体"/>
                <w:color w:val="auto"/>
                <w:sz w:val="21"/>
                <w:szCs w:val="21"/>
              </w:rPr>
              <w:t>、</w:t>
            </w:r>
            <w:r>
              <w:rPr>
                <w:rFonts w:hint="eastAsia" w:ascii="Times New Roman" w:hAnsi="Times New Roman" w:eastAsia="宋体" w:cs="宋体"/>
                <w:color w:val="auto"/>
                <w:kern w:val="0"/>
                <w:sz w:val="21"/>
                <w:szCs w:val="21"/>
                <w:lang w:val="en-US" w:eastAsia="zh-CN" w:bidi="ar"/>
              </w:rPr>
              <w:t>废活性炭</w:t>
            </w:r>
            <w:r>
              <w:rPr>
                <w:rFonts w:hint="eastAsia" w:ascii="Times New Roman" w:hAnsi="Times New Roman" w:eastAsia="宋体"/>
                <w:color w:val="auto"/>
                <w:sz w:val="21"/>
                <w:szCs w:val="21"/>
              </w:rPr>
              <w:t>、废乳化液</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废润滑油</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废棉纱、手套</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废液压油</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废清洗液</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漆渣、</w:t>
            </w:r>
            <w:r>
              <w:rPr>
                <w:rFonts w:hint="eastAsia" w:ascii="Times New Roman" w:hAnsi="Times New Roman" w:eastAsia="宋体" w:cs="Times New Roman"/>
                <w:color w:val="auto"/>
                <w:sz w:val="21"/>
                <w:szCs w:val="21"/>
                <w:lang w:val="zh-CN"/>
              </w:rPr>
              <w:t>含油废水处理系统产生的污泥</w:t>
            </w:r>
            <w:r>
              <w:rPr>
                <w:rFonts w:hint="eastAsia" w:ascii="Times New Roman" w:hAnsi="Times New Roman" w:eastAsia="宋体"/>
                <w:color w:val="auto"/>
                <w:sz w:val="21"/>
                <w:szCs w:val="21"/>
              </w:rPr>
              <w:t>等</w:t>
            </w:r>
          </w:p>
        </w:tc>
        <w:tc>
          <w:tcPr>
            <w:tcW w:w="6781" w:type="dxa"/>
            <w:tcBorders>
              <w:tl2br w:val="nil"/>
              <w:tr2bl w:val="nil"/>
            </w:tcBorders>
            <w:vAlign w:val="center"/>
          </w:tcPr>
          <w:p>
            <w:pPr>
              <w:pageBreakBefore w:val="0"/>
              <w:widowControl w:val="0"/>
              <w:kinsoku/>
              <w:wordWrap/>
              <w:overflowPunct/>
              <w:topLinePunct w:val="0"/>
              <w:bidi w:val="0"/>
              <w:adjustRightInd w:val="0"/>
              <w:spacing w:line="240" w:lineRule="atLeast"/>
              <w:textAlignment w:val="auto"/>
              <w:rPr>
                <w:rFonts w:ascii="Times New Roman" w:hAnsi="Times New Roman" w:eastAsia="宋体" w:cs="Times New Roman"/>
                <w:color w:val="auto"/>
                <w:sz w:val="21"/>
                <w:szCs w:val="21"/>
                <w:lang w:val="zh-CN"/>
              </w:rPr>
            </w:pPr>
            <w:r>
              <w:rPr>
                <w:rFonts w:hint="eastAsia" w:ascii="Times New Roman" w:hAnsi="Times New Roman" w:eastAsia="宋体"/>
                <w:color w:val="auto"/>
                <w:sz w:val="21"/>
                <w:szCs w:val="21"/>
              </w:rPr>
              <w:t>属于危险废物，车间内设暂存间，暂存间做硬化防渗处理，废物暂时存放于塑料桶内，并设立危险废物标识</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建一</w:t>
            </w:r>
            <w:r>
              <w:rPr>
                <w:rFonts w:hint="eastAsia" w:ascii="Times New Roman" w:hAnsi="Times New Roman" w:eastAsia="宋体"/>
                <w:color w:val="auto"/>
                <w:sz w:val="21"/>
                <w:szCs w:val="21"/>
              </w:rPr>
              <w:t>座危废暂存间，占地面积</w:t>
            </w:r>
            <w:r>
              <w:rPr>
                <w:rFonts w:hint="eastAsia" w:ascii="Times New Roman" w:hAnsi="Times New Roman" w:eastAsia="宋体"/>
                <w:color w:val="auto"/>
                <w:sz w:val="21"/>
                <w:szCs w:val="21"/>
                <w:lang w:val="en-US" w:eastAsia="zh-CN"/>
              </w:rPr>
              <w:t>100</w:t>
            </w:r>
            <w:r>
              <w:rPr>
                <w:rFonts w:hint="eastAsia" w:ascii="Times New Roman" w:hAnsi="Times New Roman" w:eastAsia="宋体"/>
                <w:color w:val="auto"/>
                <w:sz w:val="21"/>
                <w:szCs w:val="21"/>
              </w:rPr>
              <w:t>m</w:t>
            </w:r>
            <w:r>
              <w:rPr>
                <w:rFonts w:hint="eastAsia" w:ascii="Times New Roman" w:hAnsi="Times New Roman" w:eastAsia="宋体"/>
                <w:color w:val="auto"/>
                <w:sz w:val="21"/>
                <w:szCs w:val="21"/>
                <w:vertAlign w:val="superscript"/>
              </w:rPr>
              <w:t>2</w:t>
            </w:r>
            <w:r>
              <w:rPr>
                <w:rFonts w:hint="eastAsia" w:ascii="Times New Roman" w:hAnsi="Times New Roman" w:eastAsia="宋体"/>
                <w:color w:val="auto"/>
                <w:sz w:val="21"/>
                <w:szCs w:val="21"/>
              </w:rPr>
              <w:t>，</w:t>
            </w:r>
            <w:r>
              <w:rPr>
                <w:rFonts w:hint="eastAsia" w:ascii="Times New Roman" w:hAnsi="Times New Roman" w:eastAsia="宋体"/>
                <w:color w:val="auto"/>
                <w:sz w:val="21"/>
                <w:szCs w:val="21"/>
                <w:lang w:eastAsia="zh-CN"/>
              </w:rPr>
              <w:t>要求做到分区堆存，</w:t>
            </w:r>
            <w:r>
              <w:rPr>
                <w:rFonts w:hint="default" w:ascii="Times New Roman" w:hAnsi="Times New Roman" w:eastAsia="宋体"/>
                <w:color w:val="auto"/>
                <w:sz w:val="21"/>
                <w:szCs w:val="21"/>
                <w:lang w:eastAsia="zh-CN"/>
              </w:rPr>
              <w:t>收集暂存后委托有资质单位处置</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危废按照《危险废物贮存污染控制标准》（GB18597-2001）及《危险废物转移联单管理办法》（国家环境保护总局令第5号）管理，危废暂存间地面做重点防渗处理，采用抗渗混凝土，混凝土强度等级不应低于C25，抗渗等级不应低于P8，厚度不宜小于250mm。</w:t>
            </w: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p>
        </w:tc>
        <w:tc>
          <w:tcPr>
            <w:tcW w:w="1367" w:type="dxa"/>
            <w:tcBorders>
              <w:tl2br w:val="nil"/>
              <w:tr2bl w:val="nil"/>
            </w:tcBorders>
            <w:vAlign w:val="center"/>
          </w:tcPr>
          <w:p>
            <w:pPr>
              <w:pageBreakBefore w:val="0"/>
              <w:widowControl w:val="0"/>
              <w:kinsoku/>
              <w:wordWrap/>
              <w:overflowPunct/>
              <w:topLinePunct w:val="0"/>
              <w:autoSpaceDE w:val="0"/>
              <w:autoSpaceDN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rPr>
              <w:t>职工办公生活</w:t>
            </w:r>
          </w:p>
        </w:tc>
        <w:tc>
          <w:tcPr>
            <w:tcW w:w="964"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rPr>
              <w:t>/</w:t>
            </w:r>
          </w:p>
        </w:tc>
        <w:tc>
          <w:tcPr>
            <w:tcW w:w="163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生活垃圾</w:t>
            </w:r>
          </w:p>
        </w:tc>
        <w:tc>
          <w:tcPr>
            <w:tcW w:w="6781" w:type="dxa"/>
            <w:tcBorders>
              <w:tl2br w:val="nil"/>
              <w:tr2bl w:val="nil"/>
            </w:tcBorders>
            <w:vAlign w:val="center"/>
          </w:tcPr>
          <w:p>
            <w:pPr>
              <w:pageBreakBefore w:val="0"/>
              <w:widowControl w:val="0"/>
              <w:kinsoku/>
              <w:wordWrap/>
              <w:overflowPunct/>
              <w:topLinePunct w:val="0"/>
              <w:bidi w:val="0"/>
              <w:adjustRightInd w:val="0"/>
              <w:spacing w:line="240" w:lineRule="atLeast"/>
              <w:textAlignment w:val="auto"/>
              <w:rPr>
                <w:rFonts w:ascii="Times New Roman" w:hAnsi="Times New Roman" w:eastAsia="宋体" w:cs="Times New Roman"/>
                <w:color w:val="auto"/>
                <w:sz w:val="21"/>
                <w:szCs w:val="21"/>
              </w:rPr>
            </w:pPr>
            <w:r>
              <w:rPr>
                <w:rFonts w:hint="eastAsia" w:ascii="Times New Roman" w:hAnsi="Times New Roman" w:eastAsia="宋体"/>
                <w:color w:val="auto"/>
                <w:sz w:val="21"/>
                <w:szCs w:val="21"/>
              </w:rPr>
              <w:t>生活垃圾收集箱，定期送环卫指定点处理</w:t>
            </w:r>
          </w:p>
        </w:tc>
        <w:tc>
          <w:tcPr>
            <w:tcW w:w="3320" w:type="dxa"/>
            <w:vMerge w:val="continue"/>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zh-CN"/>
              </w:rPr>
              <w:t>土壤及地下水污染防治措施</w:t>
            </w:r>
          </w:p>
        </w:tc>
        <w:tc>
          <w:tcPr>
            <w:tcW w:w="14070" w:type="dxa"/>
            <w:gridSpan w:val="5"/>
            <w:tcBorders>
              <w:tl2br w:val="nil"/>
              <w:tr2bl w:val="nil"/>
            </w:tcBorders>
            <w:vAlign w:val="center"/>
          </w:tcPr>
          <w:p>
            <w:pPr>
              <w:pageBreakBefore w:val="0"/>
              <w:widowControl w:val="0"/>
              <w:kinsoku/>
              <w:wordWrap/>
              <w:overflowPunct/>
              <w:topLinePunct w:val="0"/>
              <w:bidi w:val="0"/>
              <w:adjustRightInd w:val="0"/>
              <w:snapToGrid w:val="0"/>
              <w:spacing w:line="240" w:lineRule="atLeast"/>
              <w:textAlignment w:val="auto"/>
              <w:rPr>
                <w:rFonts w:ascii="Times New Roman" w:hAnsi="Times New Roman" w:eastAsia="宋体" w:cs="Times New Roman"/>
                <w:color w:val="auto"/>
                <w:sz w:val="21"/>
                <w:szCs w:val="21"/>
              </w:rPr>
            </w:pPr>
            <w:r>
              <w:rPr>
                <w:rFonts w:hint="eastAsia" w:ascii="Times New Roman" w:hAnsi="Times New Roman" w:eastAsia="宋体"/>
                <w:color w:val="auto"/>
                <w:sz w:val="21"/>
                <w:szCs w:val="21"/>
              </w:rPr>
              <w:t>厂区内各区域</w:t>
            </w:r>
            <w:r>
              <w:rPr>
                <w:rFonts w:ascii="Times New Roman" w:hAnsi="Times New Roman" w:eastAsia="宋体"/>
                <w:color w:val="auto"/>
                <w:sz w:val="21"/>
                <w:szCs w:val="21"/>
              </w:rPr>
              <w:t>均已做好硬化和防渗措施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napToGri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生态保护措施</w:t>
            </w:r>
          </w:p>
        </w:tc>
        <w:tc>
          <w:tcPr>
            <w:tcW w:w="14070" w:type="dxa"/>
            <w:gridSpan w:val="5"/>
            <w:tcBorders>
              <w:tl2br w:val="nil"/>
              <w:tr2bl w:val="nil"/>
            </w:tcBorders>
            <w:vAlign w:val="center"/>
          </w:tcPr>
          <w:p>
            <w:pPr>
              <w:pageBreakBefore w:val="0"/>
              <w:widowControl w:val="0"/>
              <w:kinsoku/>
              <w:wordWrap/>
              <w:overflowPunct/>
              <w:topLinePunct w:val="0"/>
              <w:bidi w:val="0"/>
              <w:adjustRightInd w:val="0"/>
              <w:snapToGrid w:val="0"/>
              <w:spacing w:line="240" w:lineRule="atLeas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本次评价未开展生态环境影响评价工作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环境风险防范措施</w:t>
            </w:r>
          </w:p>
        </w:tc>
        <w:tc>
          <w:tcPr>
            <w:tcW w:w="14070" w:type="dxa"/>
            <w:gridSpan w:val="5"/>
            <w:tcBorders>
              <w:tl2br w:val="nil"/>
              <w:tr2bl w:val="nil"/>
            </w:tcBorders>
            <w:vAlign w:val="center"/>
          </w:tcPr>
          <w:p>
            <w:pPr>
              <w:pageBreakBefore w:val="0"/>
              <w:widowControl w:val="0"/>
              <w:kinsoku/>
              <w:wordWrap/>
              <w:overflowPunct/>
              <w:topLinePunct w:val="0"/>
              <w:bidi w:val="0"/>
              <w:adjustRightInd w:val="0"/>
              <w:snapToGrid w:val="0"/>
              <w:spacing w:line="240" w:lineRule="atLeas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l2br w:val="nil"/>
              <w:tr2bl w:val="nil"/>
            </w:tcBorders>
            <w:vAlign w:val="center"/>
          </w:tcPr>
          <w:p>
            <w:pPr>
              <w:pageBreakBefore w:val="0"/>
              <w:widowControl w:val="0"/>
              <w:kinsoku/>
              <w:wordWrap/>
              <w:overflowPunct/>
              <w:topLinePunct w:val="0"/>
              <w:bidi w:val="0"/>
              <w:adjustRightInd w:val="0"/>
              <w:spacing w:line="240" w:lineRule="atLeast"/>
              <w:jc w:val="center"/>
              <w:textAlignment w:val="auto"/>
              <w:rPr>
                <w:rFonts w:ascii="Times New Roman" w:hAnsi="Times New Roman" w:eastAsia="宋体" w:cs="Times New Roman"/>
                <w:color w:val="auto"/>
                <w:sz w:val="21"/>
                <w:szCs w:val="21"/>
                <w:lang w:val="zh-CN"/>
              </w:rPr>
            </w:pPr>
            <w:r>
              <w:rPr>
                <w:rFonts w:ascii="Times New Roman" w:hAnsi="Times New Roman" w:eastAsia="宋体" w:cs="Times New Roman"/>
                <w:color w:val="auto"/>
                <w:sz w:val="21"/>
                <w:szCs w:val="21"/>
                <w:lang w:val="zh-CN"/>
              </w:rPr>
              <w:t>其他环境管理要求</w:t>
            </w:r>
          </w:p>
        </w:tc>
        <w:tc>
          <w:tcPr>
            <w:tcW w:w="14070" w:type="dxa"/>
            <w:gridSpan w:val="5"/>
            <w:tcBorders>
              <w:tl2br w:val="nil"/>
              <w:tr2bl w:val="nil"/>
            </w:tcBorders>
            <w:vAlign w:val="center"/>
          </w:tcPr>
          <w:p>
            <w:pPr>
              <w:pageBreakBefore w:val="0"/>
              <w:widowControl w:val="0"/>
              <w:kinsoku/>
              <w:wordWrap/>
              <w:overflowPunct/>
              <w:topLinePunct w:val="0"/>
              <w:bidi w:val="0"/>
              <w:adjustRightInd w:val="0"/>
              <w:snapToGrid w:val="0"/>
              <w:spacing w:line="240" w:lineRule="atLeas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严格执行环境管理和监测计划</w:t>
            </w:r>
          </w:p>
        </w:tc>
      </w:tr>
    </w:tbl>
    <w:p>
      <w:pPr>
        <w:rPr>
          <w:rFonts w:ascii="Times New Roman" w:hAnsi="Times New Roman" w:eastAsia="宋体" w:cs="Times New Roman"/>
          <w:color w:val="auto"/>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Lines="50" w:after="120" w:afterLines="50" w:line="240" w:lineRule="auto"/>
        <w:ind w:left="0" w:firstLine="0"/>
        <w:jc w:val="center"/>
        <w:rPr>
          <w:rFonts w:ascii="Times New Roman" w:hAnsi="Times New Roman" w:eastAsia="宋体"/>
          <w:b w:val="0"/>
          <w:bCs w:val="0"/>
          <w:color w:val="auto"/>
        </w:rPr>
      </w:pPr>
      <w:r>
        <w:rPr>
          <w:rFonts w:ascii="Times New Roman" w:hAnsi="Times New Roman" w:eastAsia="宋体"/>
          <w:b w:val="0"/>
          <w:bCs w:val="0"/>
          <w:color w:val="auto"/>
        </w:rPr>
        <w:t>六、结论</w:t>
      </w:r>
    </w:p>
    <w:tbl>
      <w:tblPr>
        <w:tblStyle w:val="20"/>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10205" w:type="dxa"/>
            <w:tcBorders>
              <w:tl2br w:val="nil"/>
              <w:tr2bl w:val="nil"/>
            </w:tcBorders>
          </w:tcPr>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hint="eastAsia" w:ascii="Times New Roman" w:hAnsi="Times New Roman" w:eastAsia="宋体" w:cs="Times New Roman"/>
                <w:color w:val="auto"/>
                <w:sz w:val="24"/>
                <w:szCs w:val="24"/>
                <w:lang w:eastAsia="zh-CN"/>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r>
              <w:rPr>
                <w:rFonts w:hint="eastAsia" w:ascii="Times New Roman" w:hAnsi="Times New Roman" w:eastAsia="宋体" w:cs="Times New Roman"/>
                <w:color w:val="auto"/>
                <w:sz w:val="24"/>
                <w:szCs w:val="24"/>
                <w:lang w:eastAsia="zh-CN"/>
              </w:rPr>
              <w:t>柳林县鑫创设备再制造科技有限公司矿山设备加工及维修项目</w:t>
            </w:r>
            <w:r>
              <w:rPr>
                <w:rFonts w:ascii="Times New Roman" w:hAnsi="Times New Roman" w:eastAsia="宋体" w:cs="Times New Roman"/>
                <w:color w:val="auto"/>
                <w:kern w:val="0"/>
                <w:sz w:val="24"/>
                <w:szCs w:val="24"/>
                <w:lang w:bidi="ar"/>
              </w:rPr>
              <w:t>符合国家和地方相关政策及规划要求，且建设单位严格落实环境影响报告表中提出的各项污染防治措施后，大气污染物和噪声均可达标排放、废水全部综合利用、固体废物全部综合利用或合理处置，不会对环境造成明显影响，因此，从环保角度考虑，本次评价认为该项目建设可行。</w:t>
            </w: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kern w:val="0"/>
                <w:sz w:val="24"/>
                <w:szCs w:val="24"/>
                <w:lang w:bidi="ar"/>
              </w:rPr>
            </w:pPr>
          </w:p>
          <w:p>
            <w:pPr>
              <w:autoSpaceDE w:val="0"/>
              <w:autoSpaceDN w:val="0"/>
              <w:spacing w:line="480" w:lineRule="exact"/>
              <w:ind w:firstLine="480" w:firstLineChars="200"/>
              <w:rPr>
                <w:rFonts w:ascii="Times New Roman" w:hAnsi="Times New Roman" w:eastAsia="宋体" w:cs="Times New Roman"/>
                <w:color w:val="auto"/>
                <w:sz w:val="24"/>
              </w:rPr>
            </w:pPr>
          </w:p>
        </w:tc>
      </w:tr>
    </w:tbl>
    <w:p>
      <w:pPr>
        <w:rPr>
          <w:rFonts w:ascii="Times New Roman" w:hAnsi="Times New Roman" w:eastAsia="宋体" w:cs="Times New Roman"/>
          <w:color w:val="auto"/>
        </w:rPr>
        <w:sectPr>
          <w:pgSz w:w="11906" w:h="16838"/>
          <w:pgMar w:top="1417" w:right="1134" w:bottom="1417" w:left="1134"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
        <w:spacing w:before="156" w:beforeLines="50" w:after="156" w:afterLines="50" w:line="240" w:lineRule="auto"/>
        <w:ind w:left="0" w:firstLine="0"/>
        <w:jc w:val="center"/>
        <w:rPr>
          <w:rFonts w:ascii="Times New Roman" w:hAnsi="Times New Roman" w:eastAsia="宋体"/>
          <w:b w:val="0"/>
          <w:bCs w:val="0"/>
          <w:color w:val="auto"/>
        </w:rPr>
      </w:pPr>
      <w:r>
        <w:rPr>
          <w:rFonts w:ascii="Times New Roman" w:hAnsi="Times New Roman" w:eastAsia="宋体"/>
          <w:b w:val="0"/>
          <w:bCs w:val="0"/>
          <w:color w:val="auto"/>
        </w:rPr>
        <w:t>附表</w:t>
      </w:r>
    </w:p>
    <w:p>
      <w:pPr>
        <w:spacing w:line="480" w:lineRule="exact"/>
        <w:jc w:val="cente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建设项目污染物排放量汇总表</w:t>
      </w:r>
    </w:p>
    <w:tbl>
      <w:tblPr>
        <w:tblStyle w:val="21"/>
        <w:tblW w:w="102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538"/>
        <w:gridCol w:w="1184"/>
        <w:gridCol w:w="876"/>
        <w:gridCol w:w="1169"/>
        <w:gridCol w:w="1073"/>
        <w:gridCol w:w="1161"/>
        <w:gridCol w:w="1405"/>
        <w:gridCol w:w="1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678" w:type="dxa"/>
            <w:vAlign w:val="center"/>
          </w:tcPr>
          <w:p>
            <w:pPr>
              <w:adjustRightInd w:val="0"/>
              <w:jc w:val="right"/>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0"/>
                <w:szCs w:val="21"/>
              </w:rPr>
              <mc:AlternateContent>
                <mc:Choice Requires="wps">
                  <w:drawing>
                    <wp:anchor distT="0" distB="0" distL="114300" distR="114300" simplePos="0" relativeHeight="251661312" behindDoc="0" locked="0" layoutInCell="1" allowOverlap="1">
                      <wp:simplePos x="0" y="0"/>
                      <wp:positionH relativeFrom="column">
                        <wp:posOffset>-67310</wp:posOffset>
                      </wp:positionH>
                      <wp:positionV relativeFrom="paragraph">
                        <wp:posOffset>-2540</wp:posOffset>
                      </wp:positionV>
                      <wp:extent cx="385445" cy="777240"/>
                      <wp:effectExtent l="4445" t="1905" r="10160" b="20955"/>
                      <wp:wrapNone/>
                      <wp:docPr id="6" name="直接连接符 6"/>
                      <wp:cNvGraphicFramePr/>
                      <a:graphic xmlns:a="http://schemas.openxmlformats.org/drawingml/2006/main">
                        <a:graphicData uri="http://schemas.microsoft.com/office/word/2010/wordprocessingShape">
                          <wps:wsp>
                            <wps:cNvCnPr/>
                            <wps:spPr>
                              <a:xfrm>
                                <a:off x="0" y="0"/>
                                <a:ext cx="385445" cy="777240"/>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3pt;margin-top:-0.2pt;height:61.2pt;width:30.35pt;z-index:251661312;mso-width-relative:page;mso-height-relative:page;" filled="f" stroked="t" coordsize="21600,21600" o:gfxdata="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3NvTdQAAAAIAQAADwAAAAAAAAABACAAAAAiAAAAZHJzL2Rvd25yZXYueG1sUEsBAhQAFAAA&#10;AAgAh07iQNyVEtvzAQAA3AMAAA4AAAAAAAAAAQAgAAAAIwEAAGRycy9lMm9Eb2MueG1sUEsFBgAA&#10;AAAGAAYAWQEAAIgFAAAAAA==&#10;">
                      <v:fill on="f" focussize="0,0"/>
                      <v:stroke weight="0.5pt" color="#000000" joinstyle="round"/>
                      <v:imagedata o:title=""/>
                      <o:lock v:ext="edit" aspectratio="f"/>
                    </v:line>
                  </w:pict>
                </mc:Fallback>
              </mc:AlternateContent>
            </w:r>
            <w:r>
              <w:rPr>
                <w:rFonts w:ascii="Times New Roman" w:hAnsi="Times New Roman" w:eastAsia="宋体" w:cs="Times New Roman"/>
                <w:color w:val="auto"/>
                <w:kern w:val="0"/>
                <w:sz w:val="21"/>
                <w:szCs w:val="21"/>
              </w:rPr>
              <w:t>项目</w:t>
            </w:r>
          </w:p>
          <w:p>
            <w:pPr>
              <w:adjustRightInd w:val="0"/>
              <w:jc w:val="center"/>
              <w:rPr>
                <w:rFonts w:ascii="Times New Roman" w:hAnsi="Times New Roman" w:eastAsia="宋体" w:cs="Times New Roman"/>
                <w:color w:val="auto"/>
                <w:kern w:val="0"/>
                <w:sz w:val="21"/>
                <w:szCs w:val="21"/>
              </w:rPr>
            </w:pPr>
          </w:p>
          <w:p>
            <w:pPr>
              <w:adjustRightInd w:val="0"/>
              <w:jc w:val="left"/>
              <w:rPr>
                <w:rFonts w:ascii="Times New Roman" w:hAnsi="Times New Roman" w:eastAsia="宋体" w:cs="Times New Roman"/>
                <w:color w:val="auto"/>
                <w:kern w:val="0"/>
                <w:sz w:val="21"/>
                <w:szCs w:val="21"/>
              </w:rPr>
            </w:pPr>
          </w:p>
          <w:p>
            <w:pPr>
              <w:adjustRightInd w:val="0"/>
              <w:jc w:val="left"/>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分类</w:t>
            </w:r>
          </w:p>
        </w:tc>
        <w:tc>
          <w:tcPr>
            <w:tcW w:w="1538"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污染物名称</w:t>
            </w:r>
          </w:p>
        </w:tc>
        <w:tc>
          <w:tcPr>
            <w:tcW w:w="1184"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现有工程排放量（固体废物产生量）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1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①</w:t>
            </w:r>
            <w:r>
              <w:rPr>
                <w:rFonts w:ascii="Times New Roman" w:hAnsi="Times New Roman" w:eastAsia="宋体" w:cs="Times New Roman"/>
                <w:color w:val="auto"/>
                <w:kern w:val="0"/>
                <w:sz w:val="20"/>
                <w:szCs w:val="21"/>
              </w:rPr>
              <w:fldChar w:fldCharType="end"/>
            </w:r>
          </w:p>
        </w:tc>
        <w:tc>
          <w:tcPr>
            <w:tcW w:w="876"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现有工程许可排放量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2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②</w:t>
            </w:r>
            <w:r>
              <w:rPr>
                <w:rFonts w:ascii="Times New Roman" w:hAnsi="Times New Roman" w:eastAsia="宋体" w:cs="Times New Roman"/>
                <w:color w:val="auto"/>
                <w:kern w:val="0"/>
                <w:sz w:val="20"/>
                <w:szCs w:val="21"/>
              </w:rPr>
              <w:fldChar w:fldCharType="end"/>
            </w:r>
          </w:p>
        </w:tc>
        <w:tc>
          <w:tcPr>
            <w:tcW w:w="1169"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在建工程排放量（固体废物产生量）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3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③</w:t>
            </w:r>
            <w:r>
              <w:rPr>
                <w:rFonts w:ascii="Times New Roman" w:hAnsi="Times New Roman" w:eastAsia="宋体" w:cs="Times New Roman"/>
                <w:color w:val="auto"/>
                <w:kern w:val="0"/>
                <w:sz w:val="20"/>
                <w:szCs w:val="21"/>
              </w:rPr>
              <w:fldChar w:fldCharType="end"/>
            </w:r>
          </w:p>
        </w:tc>
        <w:tc>
          <w:tcPr>
            <w:tcW w:w="1073"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本项目排放量（固体废物产生量）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4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④</w:t>
            </w:r>
            <w:r>
              <w:rPr>
                <w:rFonts w:ascii="Times New Roman" w:hAnsi="Times New Roman" w:eastAsia="宋体" w:cs="Times New Roman"/>
                <w:color w:val="auto"/>
                <w:kern w:val="0"/>
                <w:sz w:val="20"/>
                <w:szCs w:val="21"/>
              </w:rPr>
              <w:fldChar w:fldCharType="end"/>
            </w:r>
          </w:p>
        </w:tc>
        <w:tc>
          <w:tcPr>
            <w:tcW w:w="1161"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以新带老削减量（新建项目不填）</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5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⑤</w:t>
            </w:r>
            <w:r>
              <w:rPr>
                <w:rFonts w:ascii="Times New Roman" w:hAnsi="Times New Roman" w:eastAsia="宋体" w:cs="Times New Roman"/>
                <w:color w:val="auto"/>
                <w:kern w:val="0"/>
                <w:sz w:val="20"/>
                <w:szCs w:val="21"/>
              </w:rPr>
              <w:fldChar w:fldCharType="end"/>
            </w:r>
          </w:p>
        </w:tc>
        <w:tc>
          <w:tcPr>
            <w:tcW w:w="1405"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本项目建成后全厂排放量（固体废物产生量）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6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⑥</w:t>
            </w:r>
            <w:r>
              <w:rPr>
                <w:rFonts w:ascii="Times New Roman" w:hAnsi="Times New Roman" w:eastAsia="宋体" w:cs="Times New Roman"/>
                <w:color w:val="auto"/>
                <w:kern w:val="0"/>
                <w:sz w:val="20"/>
                <w:szCs w:val="21"/>
              </w:rPr>
              <w:fldChar w:fldCharType="end"/>
            </w:r>
          </w:p>
        </w:tc>
        <w:tc>
          <w:tcPr>
            <w:tcW w:w="1169" w:type="dxa"/>
            <w:vAlign w:val="center"/>
          </w:tcPr>
          <w:p>
            <w:pPr>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变化量</w:t>
            </w:r>
            <w:r>
              <w:rPr>
                <w:rFonts w:ascii="Times New Roman" w:hAnsi="Times New Roman" w:eastAsia="宋体" w:cs="Times New Roman"/>
                <w:color w:val="auto"/>
                <w:kern w:val="0"/>
                <w:sz w:val="20"/>
                <w:szCs w:val="21"/>
              </w:rPr>
              <w:fldChar w:fldCharType="begin"/>
            </w:r>
            <w:r>
              <w:rPr>
                <w:rFonts w:ascii="Times New Roman" w:hAnsi="Times New Roman" w:eastAsia="宋体" w:cs="Times New Roman"/>
                <w:color w:val="auto"/>
                <w:kern w:val="0"/>
                <w:sz w:val="21"/>
                <w:szCs w:val="21"/>
              </w:rPr>
              <w:instrText xml:space="preserve"> = 7 \* GB3 \* MERGEFORMAT </w:instrText>
            </w:r>
            <w:r>
              <w:rPr>
                <w:rFonts w:ascii="Times New Roman" w:hAnsi="Times New Roman" w:eastAsia="宋体" w:cs="Times New Roman"/>
                <w:color w:val="auto"/>
                <w:kern w:val="0"/>
                <w:sz w:val="20"/>
                <w:szCs w:val="21"/>
              </w:rPr>
              <w:fldChar w:fldCharType="separate"/>
            </w:r>
            <w:r>
              <w:rPr>
                <w:rFonts w:hint="eastAsia" w:ascii="Times New Roman" w:hAnsi="Times New Roman" w:eastAsia="宋体" w:cs="宋体"/>
                <w:color w:val="auto"/>
                <w:kern w:val="0"/>
                <w:sz w:val="21"/>
                <w:szCs w:val="21"/>
              </w:rPr>
              <w:t>⑦</w:t>
            </w:r>
            <w:r>
              <w:rPr>
                <w:rFonts w:ascii="Times New Roman" w:hAnsi="Times New Roman" w:eastAsia="宋体" w:cs="Times New Roman"/>
                <w:color w:val="auto"/>
                <w:kern w:val="0"/>
                <w:sz w:val="20"/>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restart"/>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废气</w:t>
            </w:r>
          </w:p>
        </w:tc>
        <w:tc>
          <w:tcPr>
            <w:tcW w:w="1538"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颗粒物</w:t>
            </w:r>
          </w:p>
        </w:tc>
        <w:tc>
          <w:tcPr>
            <w:tcW w:w="1184"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876"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169"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073" w:type="dxa"/>
            <w:vAlign w:val="center"/>
          </w:tcPr>
          <w:p>
            <w:pPr>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0.646</w:t>
            </w:r>
            <w:r>
              <w:rPr>
                <w:rFonts w:hint="eastAsia" w:ascii="Times New Roman" w:hAnsi="Times New Roman" w:eastAsia="宋体" w:cs="Times New Roman"/>
                <w:color w:val="auto"/>
                <w:kern w:val="0"/>
                <w:sz w:val="21"/>
                <w:szCs w:val="21"/>
                <w:lang w:val="en-US" w:eastAsia="zh-CN"/>
              </w:rPr>
              <w:t>t/a</w:t>
            </w:r>
          </w:p>
        </w:tc>
        <w:tc>
          <w:tcPr>
            <w:tcW w:w="1161"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405" w:type="dxa"/>
            <w:vAlign w:val="center"/>
          </w:tcPr>
          <w:p>
            <w:pPr>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color w:val="auto"/>
                <w:kern w:val="0"/>
                <w:sz w:val="18"/>
                <w:szCs w:val="18"/>
                <w:lang w:val="en-US" w:eastAsia="zh-CN"/>
              </w:rPr>
              <w:t>0.646</w:t>
            </w:r>
            <w:r>
              <w:rPr>
                <w:rFonts w:hint="eastAsia" w:ascii="Times New Roman" w:hAnsi="Times New Roman" w:eastAsia="宋体" w:cs="Times New Roman"/>
                <w:color w:val="auto"/>
                <w:kern w:val="0"/>
                <w:sz w:val="21"/>
                <w:szCs w:val="21"/>
                <w:lang w:val="en-US" w:eastAsia="zh-CN"/>
              </w:rPr>
              <w:t>t/a</w:t>
            </w:r>
          </w:p>
        </w:tc>
        <w:tc>
          <w:tcPr>
            <w:tcW w:w="1169" w:type="dxa"/>
            <w:vAlign w:val="center"/>
          </w:tcPr>
          <w:p>
            <w:pPr>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w:t>
            </w:r>
            <w:r>
              <w:rPr>
                <w:rFonts w:hint="eastAsia" w:ascii="Times New Roman" w:hAnsi="Times New Roman" w:eastAsia="宋体" w:cs="Times New Roman"/>
                <w:color w:val="auto"/>
                <w:kern w:val="0"/>
                <w:sz w:val="18"/>
                <w:szCs w:val="18"/>
                <w:lang w:val="en-US" w:eastAsia="zh-CN"/>
              </w:rPr>
              <w:t>0.646</w:t>
            </w:r>
            <w:r>
              <w:rPr>
                <w:rFonts w:hint="eastAsia" w:ascii="Times New Roman" w:hAnsi="Times New Roman" w:eastAsia="宋体" w:cs="Times New Roman"/>
                <w:color w:val="auto"/>
                <w:kern w:val="0"/>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rPr>
            </w:pPr>
          </w:p>
        </w:tc>
        <w:tc>
          <w:tcPr>
            <w:tcW w:w="1538" w:type="dxa"/>
            <w:vAlign w:val="center"/>
          </w:tcPr>
          <w:p>
            <w:pPr>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非甲烷总烃</w:t>
            </w:r>
          </w:p>
        </w:tc>
        <w:tc>
          <w:tcPr>
            <w:tcW w:w="1184"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876"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169"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073" w:type="dxa"/>
            <w:vAlign w:val="center"/>
          </w:tcPr>
          <w:p>
            <w:pPr>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0.184</w:t>
            </w:r>
            <w:r>
              <w:rPr>
                <w:rFonts w:hint="eastAsia" w:ascii="Times New Roman" w:hAnsi="Times New Roman" w:eastAsia="宋体" w:cs="Times New Roman"/>
                <w:color w:val="auto"/>
                <w:kern w:val="0"/>
                <w:sz w:val="21"/>
                <w:szCs w:val="21"/>
                <w:lang w:val="en-US" w:eastAsia="zh-CN"/>
              </w:rPr>
              <w:t>t/a</w:t>
            </w:r>
          </w:p>
        </w:tc>
        <w:tc>
          <w:tcPr>
            <w:tcW w:w="1161" w:type="dxa"/>
            <w:vAlign w:val="center"/>
          </w:tcPr>
          <w:p>
            <w:pPr>
              <w:jc w:val="center"/>
              <w:rPr>
                <w:rFonts w:ascii="Times New Roman" w:hAnsi="Times New Roman" w:eastAsia="宋体" w:cs="Times New Roman"/>
                <w:color w:val="auto"/>
                <w:kern w:val="0"/>
                <w:sz w:val="18"/>
                <w:szCs w:val="18"/>
              </w:rPr>
            </w:pPr>
            <w:r>
              <w:rPr>
                <w:rFonts w:ascii="Times New Roman" w:hAnsi="Times New Roman" w:eastAsia="宋体" w:cs="Times New Roman"/>
                <w:color w:val="auto"/>
                <w:kern w:val="0"/>
                <w:sz w:val="18"/>
                <w:szCs w:val="18"/>
              </w:rPr>
              <w:t>/</w:t>
            </w:r>
          </w:p>
        </w:tc>
        <w:tc>
          <w:tcPr>
            <w:tcW w:w="1405" w:type="dxa"/>
            <w:vAlign w:val="center"/>
          </w:tcPr>
          <w:p>
            <w:pPr>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color w:val="auto"/>
                <w:kern w:val="0"/>
                <w:sz w:val="18"/>
                <w:szCs w:val="18"/>
                <w:lang w:val="en-US" w:eastAsia="zh-CN"/>
              </w:rPr>
              <w:t>0.1848</w:t>
            </w:r>
            <w:r>
              <w:rPr>
                <w:rFonts w:hint="eastAsia" w:ascii="Times New Roman" w:hAnsi="Times New Roman" w:eastAsia="宋体" w:cs="Times New Roman"/>
                <w:color w:val="auto"/>
                <w:kern w:val="0"/>
                <w:sz w:val="21"/>
                <w:szCs w:val="21"/>
                <w:lang w:val="en-US" w:eastAsia="zh-CN"/>
              </w:rPr>
              <w:t>/a</w:t>
            </w:r>
          </w:p>
        </w:tc>
        <w:tc>
          <w:tcPr>
            <w:tcW w:w="1169" w:type="dxa"/>
            <w:vAlign w:val="center"/>
          </w:tcPr>
          <w:p>
            <w:pPr>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w:t>
            </w:r>
            <w:r>
              <w:rPr>
                <w:rFonts w:hint="eastAsia" w:ascii="Times New Roman" w:hAnsi="Times New Roman" w:eastAsia="宋体" w:cs="Times New Roman"/>
                <w:color w:val="auto"/>
                <w:kern w:val="0"/>
                <w:sz w:val="18"/>
                <w:szCs w:val="18"/>
                <w:lang w:val="en-US" w:eastAsia="zh-CN"/>
              </w:rPr>
              <w:t>0.184</w:t>
            </w:r>
            <w:r>
              <w:rPr>
                <w:rFonts w:hint="eastAsia" w:ascii="Times New Roman" w:hAnsi="Times New Roman" w:eastAsia="宋体" w:cs="Times New Roman"/>
                <w:color w:val="auto"/>
                <w:kern w:val="0"/>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restart"/>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lang w:bidi="ar"/>
              </w:rPr>
              <w:t>废水</w:t>
            </w:r>
          </w:p>
        </w:tc>
        <w:tc>
          <w:tcPr>
            <w:tcW w:w="1538" w:type="dxa"/>
            <w:vAlign w:val="center"/>
          </w:tcPr>
          <w:p>
            <w:pPr>
              <w:adjustRightInd w:val="0"/>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0"/>
                <w:sz w:val="21"/>
                <w:szCs w:val="21"/>
              </w:rPr>
              <w:t>生活污水</w:t>
            </w:r>
          </w:p>
        </w:tc>
        <w:tc>
          <w:tcPr>
            <w:tcW w:w="1184"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876"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169"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073"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c>
          <w:tcPr>
            <w:tcW w:w="1161"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405"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c>
          <w:tcPr>
            <w:tcW w:w="1169"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6"/>
              <w:jc w:val="center"/>
              <w:rPr>
                <w:rFonts w:ascii="Times New Roman" w:hAnsi="Times New Roman" w:eastAsia="宋体"/>
                <w:color w:val="auto"/>
                <w:kern w:val="0"/>
                <w:sz w:val="21"/>
                <w:szCs w:val="21"/>
              </w:rPr>
            </w:pPr>
          </w:p>
        </w:tc>
        <w:tc>
          <w:tcPr>
            <w:tcW w:w="1538" w:type="dxa"/>
            <w:vAlign w:val="center"/>
          </w:tcPr>
          <w:p>
            <w:pPr>
              <w:adjustRightInd w:val="0"/>
              <w:jc w:val="center"/>
              <w:rPr>
                <w:rFonts w:ascii="Times New Roman" w:hAnsi="Times New Roman" w:eastAsia="宋体" w:cs="Times New Roman"/>
                <w:color w:val="auto"/>
                <w:kern w:val="2"/>
                <w:sz w:val="21"/>
                <w:szCs w:val="21"/>
                <w:lang w:val="zh-CN"/>
              </w:rPr>
            </w:pPr>
            <w:r>
              <w:rPr>
                <w:rFonts w:ascii="Times New Roman" w:hAnsi="Times New Roman" w:eastAsia="宋体" w:cs="Times New Roman"/>
                <w:color w:val="auto"/>
                <w:kern w:val="0"/>
                <w:sz w:val="21"/>
                <w:szCs w:val="21"/>
                <w:lang w:val="zh-CN"/>
              </w:rPr>
              <w:t>生产废水</w:t>
            </w:r>
          </w:p>
        </w:tc>
        <w:tc>
          <w:tcPr>
            <w:tcW w:w="1184"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876"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169"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073"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c>
          <w:tcPr>
            <w:tcW w:w="1161"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w:t>
            </w:r>
          </w:p>
        </w:tc>
        <w:tc>
          <w:tcPr>
            <w:tcW w:w="1405"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c>
          <w:tcPr>
            <w:tcW w:w="1169" w:type="dxa"/>
            <w:vAlign w:val="center"/>
          </w:tcPr>
          <w:p>
            <w:pPr>
              <w:jc w:val="center"/>
              <w:rPr>
                <w:rFonts w:ascii="Times New Roman" w:hAnsi="Times New Roman" w:eastAsia="宋体" w:cs="Times New Roman"/>
                <w:color w:val="auto"/>
                <w:kern w:val="2"/>
                <w:sz w:val="18"/>
                <w:szCs w:val="18"/>
              </w:rPr>
            </w:pPr>
            <w:r>
              <w:rPr>
                <w:rFonts w:ascii="Times New Roman" w:hAnsi="Times New Roman" w:eastAsia="宋体" w:cs="Times New Roman"/>
                <w:color w:val="auto"/>
                <w:kern w:val="0"/>
                <w:sz w:val="18"/>
                <w:szCs w:val="18"/>
              </w:rPr>
              <w:t>0m</w:t>
            </w:r>
            <w:r>
              <w:rPr>
                <w:rFonts w:ascii="Times New Roman" w:hAnsi="Times New Roman" w:eastAsia="宋体" w:cs="Times New Roman"/>
                <w:color w:val="auto"/>
                <w:kern w:val="0"/>
                <w:sz w:val="18"/>
                <w:szCs w:val="18"/>
                <w:vertAlign w:val="superscript"/>
              </w:rPr>
              <w:t>3</w:t>
            </w:r>
            <w:r>
              <w:rPr>
                <w:rFonts w:ascii="Times New Roman" w:hAnsi="Times New Roman" w:eastAsia="宋体" w:cs="Times New Roman"/>
                <w:color w:val="auto"/>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restart"/>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lang w:bidi="ar"/>
              </w:rPr>
              <w:t>一般工业固体废物</w:t>
            </w:r>
          </w:p>
        </w:tc>
        <w:tc>
          <w:tcPr>
            <w:tcW w:w="1538"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铁屑及边角料</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12t/a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12t/a</w:t>
            </w:r>
          </w:p>
        </w:tc>
        <w:tc>
          <w:tcPr>
            <w:tcW w:w="1169" w:type="dxa"/>
            <w:vAlign w:val="center"/>
          </w:tcPr>
          <w:p>
            <w:pPr>
              <w:adjustRightInd w:val="0"/>
              <w:jc w:val="center"/>
              <w:rPr>
                <w:rFonts w:hint="default" w:ascii="Times New Roman" w:hAnsi="Times New Roman" w:eastAsia="宋体" w:cs="Times New Roman"/>
                <w:color w:val="auto"/>
                <w:kern w:val="0"/>
                <w:sz w:val="20"/>
                <w:szCs w:val="21"/>
                <w:lang w:val="en-US"/>
              </w:rPr>
            </w:pPr>
            <w:r>
              <w:rPr>
                <w:rFonts w:hint="eastAsia" w:ascii="Times New Roman" w:hAnsi="Times New Roman" w:eastAsia="宋体" w:cs="Times New Roman"/>
                <w:szCs w:val="21"/>
                <w:lang w:val="en-US" w:eastAsia="zh-CN"/>
              </w:rPr>
              <w:t>+12t/a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6"/>
              <w:jc w:val="center"/>
              <w:rPr>
                <w:rFonts w:ascii="Times New Roman" w:hAnsi="Times New Roman" w:eastAsia="宋体"/>
                <w:color w:val="auto"/>
                <w:kern w:val="0"/>
                <w:sz w:val="21"/>
                <w:szCs w:val="21"/>
              </w:rPr>
            </w:pPr>
          </w:p>
        </w:tc>
        <w:tc>
          <w:tcPr>
            <w:tcW w:w="1538"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废焊条</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9" w:type="dxa"/>
            <w:vAlign w:val="center"/>
          </w:tcPr>
          <w:p>
            <w:pPr>
              <w:adjustRightInd w:val="0"/>
              <w:jc w:val="center"/>
              <w:rPr>
                <w:rFonts w:ascii="Times New Roman" w:hAnsi="Times New Roman" w:eastAsia="宋体" w:cs="Times New Roman"/>
                <w:color w:val="auto"/>
                <w:kern w:val="0"/>
                <w:sz w:val="20"/>
                <w:szCs w:val="21"/>
              </w:rPr>
            </w:pPr>
            <w:r>
              <w:rPr>
                <w:rFonts w:hint="eastAsia" w:ascii="Times New Roman" w:hAnsi="Times New Roman" w:eastAsia="宋体" w:cs="Times New Roman"/>
                <w:szCs w:val="21"/>
                <w:lang w:val="en-US" w:eastAsia="zh-CN"/>
              </w:rPr>
              <w:t>+0.05t/a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6"/>
              <w:jc w:val="center"/>
              <w:rPr>
                <w:rFonts w:ascii="Times New Roman" w:hAnsi="Times New Roman" w:eastAsia="宋体"/>
                <w:color w:val="auto"/>
                <w:kern w:val="0"/>
                <w:sz w:val="21"/>
                <w:szCs w:val="21"/>
              </w:rPr>
            </w:pPr>
          </w:p>
        </w:tc>
        <w:tc>
          <w:tcPr>
            <w:tcW w:w="1538"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喷砂机除尘灰</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19.91t/a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19.91t/a</w:t>
            </w:r>
          </w:p>
        </w:tc>
        <w:tc>
          <w:tcPr>
            <w:tcW w:w="1169" w:type="dxa"/>
            <w:vAlign w:val="center"/>
          </w:tcPr>
          <w:p>
            <w:pPr>
              <w:adjustRightInd w:val="0"/>
              <w:jc w:val="center"/>
              <w:rPr>
                <w:rFonts w:ascii="Times New Roman" w:hAnsi="Times New Roman" w:eastAsia="宋体" w:cs="Times New Roman"/>
                <w:color w:val="auto"/>
                <w:kern w:val="0"/>
                <w:sz w:val="20"/>
                <w:szCs w:val="21"/>
              </w:rPr>
            </w:pPr>
            <w:r>
              <w:rPr>
                <w:rFonts w:hint="eastAsia" w:ascii="Times New Roman" w:hAnsi="Times New Roman" w:eastAsia="宋体" w:cs="Times New Roman"/>
                <w:szCs w:val="21"/>
                <w:lang w:val="en-US" w:eastAsia="zh-CN"/>
              </w:rPr>
              <w:t>+19.91t/a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6"/>
              <w:jc w:val="center"/>
              <w:rPr>
                <w:rFonts w:ascii="Times New Roman" w:hAnsi="Times New Roman" w:eastAsia="宋体"/>
                <w:color w:val="auto"/>
                <w:kern w:val="0"/>
                <w:sz w:val="21"/>
                <w:szCs w:val="21"/>
              </w:rPr>
            </w:pPr>
          </w:p>
        </w:tc>
        <w:tc>
          <w:tcPr>
            <w:tcW w:w="1538" w:type="dxa"/>
            <w:vAlign w:val="center"/>
          </w:tcPr>
          <w:p>
            <w:pPr>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铁屑及边角料</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12t/a</w:t>
            </w:r>
          </w:p>
        </w:tc>
        <w:tc>
          <w:tcPr>
            <w:tcW w:w="1169" w:type="dxa"/>
            <w:vAlign w:val="center"/>
          </w:tcPr>
          <w:p>
            <w:pPr>
              <w:adjustRightInd w:val="0"/>
              <w:jc w:val="center"/>
              <w:rPr>
                <w:rFonts w:ascii="Times New Roman" w:hAnsi="Times New Roman" w:eastAsia="宋体" w:cs="Times New Roman"/>
                <w:color w:val="auto"/>
                <w:kern w:val="0"/>
                <w:sz w:val="20"/>
                <w:szCs w:val="21"/>
              </w:rPr>
            </w:pPr>
            <w:r>
              <w:rPr>
                <w:rFonts w:hint="eastAsia" w:ascii="Times New Roman" w:hAnsi="Times New Roman" w:eastAsia="宋体" w:cs="Times New Roman"/>
                <w:szCs w:val="21"/>
                <w:lang w:val="en-US" w:eastAsia="zh-CN"/>
              </w:rPr>
              <w:t>+12t/a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restart"/>
            <w:vAlign w:val="center"/>
          </w:tcPr>
          <w:p>
            <w:pPr>
              <w:jc w:val="center"/>
              <w:rPr>
                <w:rFonts w:ascii="Times New Roman" w:hAnsi="Times New Roman" w:eastAsia="宋体" w:cs="Times New Roman"/>
                <w:color w:val="auto"/>
                <w:kern w:val="0"/>
                <w:sz w:val="21"/>
                <w:szCs w:val="21"/>
                <w:lang w:bidi="ar"/>
              </w:rPr>
            </w:pPr>
            <w:r>
              <w:rPr>
                <w:rFonts w:ascii="Times New Roman" w:hAnsi="Times New Roman" w:eastAsia="宋体" w:cs="Times New Roman"/>
                <w:color w:val="auto"/>
                <w:kern w:val="0"/>
                <w:sz w:val="21"/>
                <w:szCs w:val="21"/>
                <w:lang w:bidi="ar"/>
              </w:rPr>
              <w:t>危险废物</w:t>
            </w: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废漆桶</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+1.5t/a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废活性炭</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4.8t/a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4.8t/a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+4.8t/a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废机油</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+19t/a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乳化液</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废液压油</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零件废清洗液</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+0.05t/a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废棉纱、手套</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+0.05t/a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漆渣</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0.19t/a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0.19t/a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+0.19t/a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jc w:val="center"/>
              <w:rPr>
                <w:rFonts w:ascii="Times New Roman" w:hAnsi="Times New Roman" w:eastAsia="宋体" w:cs="Times New Roman"/>
                <w:color w:val="auto"/>
                <w:kern w:val="0"/>
                <w:sz w:val="21"/>
                <w:szCs w:val="21"/>
                <w:lang w:bidi="ar"/>
              </w:rPr>
            </w:pPr>
          </w:p>
        </w:tc>
        <w:tc>
          <w:tcPr>
            <w:tcW w:w="1538"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zh-CN" w:eastAsia="zh-CN"/>
              </w:rPr>
              <w:t>含油废水处理系统产生的污泥</w:t>
            </w:r>
          </w:p>
        </w:tc>
        <w:tc>
          <w:tcPr>
            <w:tcW w:w="1184"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76"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9"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073"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0.36t/a</w:t>
            </w:r>
          </w:p>
        </w:tc>
        <w:tc>
          <w:tcPr>
            <w:tcW w:w="1161"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405" w:type="dxa"/>
            <w:vAlign w:val="center"/>
          </w:tcPr>
          <w:p>
            <w:pPr>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0.36t/a</w:t>
            </w:r>
          </w:p>
        </w:tc>
        <w:tc>
          <w:tcPr>
            <w:tcW w:w="1169" w:type="dxa"/>
            <w:vAlign w:val="center"/>
          </w:tcPr>
          <w:p>
            <w:pPr>
              <w:adjustRightInd w:val="0"/>
              <w:jc w:val="center"/>
              <w:rPr>
                <w:rFonts w:ascii="Times New Roman" w:hAnsi="Times New Roman" w:eastAsia="宋体" w:cs="Times New Roman"/>
                <w:color w:val="auto"/>
                <w:kern w:val="0"/>
                <w:sz w:val="18"/>
                <w:szCs w:val="18"/>
              </w:rPr>
            </w:pPr>
            <w:r>
              <w:rPr>
                <w:rFonts w:hint="eastAsia" w:ascii="Times New Roman" w:hAnsi="Times New Roman" w:eastAsia="宋体" w:cs="Times New Roman"/>
                <w:szCs w:val="21"/>
                <w:lang w:val="en-US" w:eastAsia="zh-CN"/>
              </w:rPr>
              <w:t>+0.36t/a</w:t>
            </w:r>
          </w:p>
        </w:tc>
      </w:tr>
    </w:tbl>
    <w:p>
      <w:pPr>
        <w:rPr>
          <w:rFonts w:ascii="Times New Roman" w:hAnsi="Times New Roman" w:eastAsia="宋体" w:cs="Times New Roman"/>
          <w:color w:val="auto"/>
          <w:szCs w:val="21"/>
        </w:rPr>
      </w:pPr>
      <w:r>
        <w:rPr>
          <w:rFonts w:ascii="Times New Roman" w:hAnsi="Times New Roman" w:eastAsia="宋体" w:cs="Times New Roman"/>
          <w:color w:val="auto"/>
          <w:szCs w:val="21"/>
        </w:rPr>
        <w:t>注：</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6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⑥</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1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①</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3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③</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4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④</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5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⑤</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7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⑦</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6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⑥</w:t>
      </w:r>
      <w:r>
        <w:rPr>
          <w:rFonts w:ascii="Times New Roman" w:hAnsi="Times New Roman" w:eastAsia="宋体" w:cs="Times New Roman"/>
          <w:color w:val="auto"/>
          <w:szCs w:val="21"/>
        </w:rPr>
        <w:fldChar w:fldCharType="end"/>
      </w:r>
      <w:r>
        <w:rPr>
          <w:rFonts w:ascii="Times New Roman" w:hAnsi="Times New Roman" w:eastAsia="宋体" w:cs="Times New Roman"/>
          <w:color w:val="auto"/>
          <w:szCs w:val="21"/>
        </w:rPr>
        <w:t>-</w:t>
      </w:r>
      <w:r>
        <w:rPr>
          <w:rFonts w:ascii="Times New Roman" w:hAnsi="Times New Roman" w:eastAsia="宋体" w:cs="Times New Roman"/>
          <w:color w:val="auto"/>
          <w:szCs w:val="21"/>
        </w:rPr>
        <w:fldChar w:fldCharType="begin"/>
      </w:r>
      <w:r>
        <w:rPr>
          <w:rFonts w:ascii="Times New Roman" w:hAnsi="Times New Roman" w:eastAsia="宋体" w:cs="Times New Roman"/>
          <w:color w:val="auto"/>
          <w:szCs w:val="21"/>
        </w:rPr>
        <w:instrText xml:space="preserve"> = 1 \* GB3 \* MERGEFORMAT </w:instrText>
      </w:r>
      <w:r>
        <w:rPr>
          <w:rFonts w:ascii="Times New Roman" w:hAnsi="Times New Roman" w:eastAsia="宋体" w:cs="Times New Roman"/>
          <w:color w:val="auto"/>
          <w:szCs w:val="21"/>
        </w:rPr>
        <w:fldChar w:fldCharType="separate"/>
      </w:r>
      <w:r>
        <w:rPr>
          <w:rFonts w:hint="eastAsia" w:ascii="Times New Roman" w:hAnsi="Times New Roman" w:eastAsia="宋体" w:cs="宋体"/>
          <w:color w:val="auto"/>
          <w:szCs w:val="21"/>
        </w:rPr>
        <w:t>①</w:t>
      </w:r>
      <w:r>
        <w:rPr>
          <w:rFonts w:ascii="Times New Roman" w:hAnsi="Times New Roman" w:eastAsia="宋体" w:cs="Times New Roman"/>
          <w:color w:val="auto"/>
          <w:szCs w:val="21"/>
        </w:rPr>
        <w:fldChar w:fldCharType="end"/>
      </w:r>
    </w:p>
    <w:p>
      <w:pPr>
        <w:pStyle w:val="2"/>
        <w:rPr>
          <w:rFonts w:ascii="Times New Roman" w:hAnsi="Times New Roman" w:eastAsia="宋体" w:cs="Times New Roman"/>
          <w:color w:val="auto"/>
          <w:szCs w:val="21"/>
        </w:rPr>
      </w:pPr>
    </w:p>
    <w:p>
      <w:p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ascii="Times New Roman" w:hAnsi="Times New Roman" w:eastAsia="宋体"/>
          <w:bCs/>
          <w:snapToGrid w:val="0"/>
          <w:color w:val="auto"/>
          <w:kern w:val="0"/>
          <w:sz w:val="24"/>
        </w:rPr>
      </w:pPr>
      <w:r>
        <w:rPr>
          <w:rFonts w:ascii="Times New Roman" w:hAnsi="Times New Roman" w:eastAsia="宋体"/>
          <w:bCs/>
          <w:snapToGrid w:val="0"/>
          <w:color w:val="auto"/>
          <w:kern w:val="0"/>
          <w:sz w:val="24"/>
        </w:rPr>
        <w:t>附图1地理位置图</w:t>
      </w:r>
    </w:p>
    <w:p>
      <w:pPr>
        <w:rPr>
          <w:rFonts w:ascii="Times New Roman" w:hAnsi="Times New Roman" w:eastAsia="宋体"/>
          <w:color w:val="auto"/>
        </w:rPr>
      </w:pPr>
      <w:r>
        <w:rPr>
          <w:rFonts w:ascii="Times New Roman" w:hAnsi="Times New Roman" w:eastAsia="宋体"/>
          <w:color w:val="auto"/>
        </w:rPr>
        <w:drawing>
          <wp:anchor distT="0" distB="0" distL="114300" distR="114300" simplePos="0" relativeHeight="251673600" behindDoc="0" locked="0" layoutInCell="1" allowOverlap="1">
            <wp:simplePos x="0" y="0"/>
            <wp:positionH relativeFrom="column">
              <wp:posOffset>83185</wp:posOffset>
            </wp:positionH>
            <wp:positionV relativeFrom="paragraph">
              <wp:posOffset>8255</wp:posOffset>
            </wp:positionV>
            <wp:extent cx="8795385" cy="5452110"/>
            <wp:effectExtent l="0" t="0" r="5715" b="15240"/>
            <wp:wrapNone/>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33"/>
                    <a:stretch>
                      <a:fillRect/>
                    </a:stretch>
                  </pic:blipFill>
                  <pic:spPr>
                    <a:xfrm>
                      <a:off x="0" y="0"/>
                      <a:ext cx="8795385" cy="5452110"/>
                    </a:xfrm>
                    <a:prstGeom prst="rect">
                      <a:avLst/>
                    </a:prstGeom>
                    <a:noFill/>
                    <a:ln>
                      <a:noFill/>
                    </a:ln>
                  </pic:spPr>
                </pic:pic>
              </a:graphicData>
            </a:graphic>
          </wp:anchor>
        </w:drawing>
      </w:r>
    </w:p>
    <w:p>
      <w:pPr>
        <w:pStyle w:val="5"/>
        <w:rPr>
          <w:rFonts w:ascii="Times New Roman" w:hAnsi="Times New Roman" w:eastAsia="宋体"/>
          <w:color w:val="auto"/>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adjustRightInd w:val="0"/>
        <w:snapToGrid w:val="0"/>
        <w:spacing w:before="156" w:beforeLines="50" w:after="156" w:afterLines="50"/>
        <w:rPr>
          <w:rFonts w:ascii="Times New Roman" w:hAnsi="Times New Roman" w:eastAsia="宋体" w:cs="Times New Roman"/>
          <w:bCs/>
          <w:snapToGrid w:val="0"/>
          <w:color w:val="auto"/>
          <w:kern w:val="0"/>
          <w:sz w:val="24"/>
          <w:szCs w:val="24"/>
        </w:rPr>
      </w:pPr>
      <w:r>
        <w:rPr>
          <w:rFonts w:ascii="Times New Roman" w:hAnsi="Times New Roman" w:eastAsia="宋体"/>
          <w:color w:val="auto"/>
        </w:rPr>
        <w:drawing>
          <wp:anchor distT="0" distB="0" distL="114300" distR="114300" simplePos="0" relativeHeight="251674624" behindDoc="0" locked="0" layoutInCell="1" allowOverlap="1">
            <wp:simplePos x="0" y="0"/>
            <wp:positionH relativeFrom="column">
              <wp:posOffset>202565</wp:posOffset>
            </wp:positionH>
            <wp:positionV relativeFrom="paragraph">
              <wp:posOffset>290830</wp:posOffset>
            </wp:positionV>
            <wp:extent cx="8167370" cy="5628640"/>
            <wp:effectExtent l="0" t="0" r="5080" b="10160"/>
            <wp:wrapNone/>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34"/>
                    <a:stretch>
                      <a:fillRect/>
                    </a:stretch>
                  </pic:blipFill>
                  <pic:spPr>
                    <a:xfrm>
                      <a:off x="0" y="0"/>
                      <a:ext cx="8167370" cy="5628640"/>
                    </a:xfrm>
                    <a:prstGeom prst="rect">
                      <a:avLst/>
                    </a:prstGeom>
                    <a:noFill/>
                    <a:ln>
                      <a:noFill/>
                    </a:ln>
                  </pic:spPr>
                </pic:pic>
              </a:graphicData>
            </a:graphic>
          </wp:anchor>
        </w:drawing>
      </w:r>
      <w:r>
        <w:rPr>
          <w:rFonts w:hint="eastAsia" w:ascii="Times New Roman" w:hAnsi="Times New Roman" w:eastAsia="宋体" w:cs="Times New Roman"/>
          <w:bCs/>
          <w:snapToGrid w:val="0"/>
          <w:color w:val="auto"/>
          <w:kern w:val="0"/>
          <w:sz w:val="24"/>
          <w:szCs w:val="24"/>
        </w:rPr>
        <w:t>附图2四邻关系图</w:t>
      </w:r>
    </w:p>
    <w:p>
      <w:pPr>
        <w:rPr>
          <w:rFonts w:ascii="Times New Roman" w:hAnsi="Times New Roman" w:eastAsia="宋体"/>
          <w:color w:val="auto"/>
        </w:rPr>
      </w:pPr>
    </w:p>
    <w:p>
      <w:pPr>
        <w:pStyle w:val="5"/>
        <w:rPr>
          <w:rFonts w:ascii="Times New Roman" w:hAnsi="Times New Roman" w:eastAsia="宋体"/>
          <w:color w:val="auto"/>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adjustRightInd w:val="0"/>
        <w:snapToGrid w:val="0"/>
        <w:spacing w:before="156" w:beforeLines="50" w:after="156" w:afterLines="50"/>
        <w:rPr>
          <w:rFonts w:ascii="Times New Roman" w:hAnsi="Times New Roman" w:eastAsia="宋体" w:cs="Times New Roman"/>
          <w:bCs/>
          <w:snapToGrid w:val="0"/>
          <w:color w:val="auto"/>
          <w:kern w:val="0"/>
          <w:sz w:val="24"/>
          <w:szCs w:val="24"/>
        </w:rPr>
      </w:pPr>
      <w:r>
        <w:rPr>
          <w:rFonts w:hint="eastAsia" w:ascii="Times New Roman" w:hAnsi="Times New Roman" w:eastAsia="宋体" w:cs="Times New Roman"/>
          <w:bCs/>
          <w:snapToGrid w:val="0"/>
          <w:color w:val="auto"/>
          <w:kern w:val="0"/>
          <w:sz w:val="24"/>
          <w:szCs w:val="24"/>
          <w:lang w:eastAsia="zh-CN"/>
        </w:rPr>
        <w:drawing>
          <wp:anchor distT="0" distB="0" distL="114300" distR="114300" simplePos="0" relativeHeight="251675648" behindDoc="1" locked="0" layoutInCell="1" allowOverlap="1">
            <wp:simplePos x="0" y="0"/>
            <wp:positionH relativeFrom="column">
              <wp:posOffset>-297815</wp:posOffset>
            </wp:positionH>
            <wp:positionV relativeFrom="paragraph">
              <wp:posOffset>-213995</wp:posOffset>
            </wp:positionV>
            <wp:extent cx="6766560" cy="9578340"/>
            <wp:effectExtent l="0" t="0" r="15240" b="3810"/>
            <wp:wrapNone/>
            <wp:docPr id="9" name="图片 9" descr="鑫创总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鑫创总平面布置图_00"/>
                    <pic:cNvPicPr>
                      <a:picLocks noChangeAspect="1"/>
                    </pic:cNvPicPr>
                  </pic:nvPicPr>
                  <pic:blipFill>
                    <a:blip r:embed="rId35"/>
                    <a:stretch>
                      <a:fillRect/>
                    </a:stretch>
                  </pic:blipFill>
                  <pic:spPr>
                    <a:xfrm>
                      <a:off x="0" y="0"/>
                      <a:ext cx="6766560" cy="9578340"/>
                    </a:xfrm>
                    <a:prstGeom prst="rect">
                      <a:avLst/>
                    </a:prstGeom>
                  </pic:spPr>
                </pic:pic>
              </a:graphicData>
            </a:graphic>
          </wp:anchor>
        </w:drawing>
      </w:r>
      <w:r>
        <w:rPr>
          <w:rFonts w:hint="eastAsia" w:ascii="Times New Roman" w:hAnsi="Times New Roman" w:eastAsia="宋体" w:cs="Times New Roman"/>
          <w:bCs/>
          <w:snapToGrid w:val="0"/>
          <w:color w:val="auto"/>
          <w:kern w:val="0"/>
          <w:sz w:val="24"/>
          <w:szCs w:val="24"/>
        </w:rPr>
        <w:t>附图3厂区总平面布置图</w:t>
      </w:r>
    </w:p>
    <w:p>
      <w:pPr>
        <w:rPr>
          <w:rFonts w:hint="eastAsia" w:ascii="Times New Roman" w:hAnsi="Times New Roman" w:eastAsia="宋体" w:cs="Times New Roman"/>
          <w:bCs/>
          <w:snapToGrid w:val="0"/>
          <w:color w:val="auto"/>
          <w:kern w:val="0"/>
          <w:sz w:val="24"/>
          <w:szCs w:val="24"/>
          <w:lang w:eastAsia="zh-CN"/>
        </w:rPr>
      </w:pPr>
      <w:r>
        <w:rPr>
          <w:rFonts w:hint="eastAsia" w:ascii="Times New Roman" w:hAnsi="Times New Roman" w:eastAsia="宋体" w:cs="Times New Roman"/>
          <w:bCs/>
          <w:snapToGrid w:val="0"/>
          <w:color w:val="auto"/>
          <w:kern w:val="0"/>
          <w:sz w:val="24"/>
          <w:szCs w:val="24"/>
        </w:rPr>
        <w:br w:type="page"/>
      </w:r>
    </w:p>
    <w:p>
      <w:pPr>
        <w:widowControl/>
        <w:adjustRightInd w:val="0"/>
        <w:snapToGrid w:val="0"/>
        <w:spacing w:before="156" w:beforeLines="50" w:after="156" w:afterLines="50"/>
        <w:rPr>
          <w:rFonts w:ascii="Times New Roman" w:hAnsi="Times New Roman" w:eastAsia="宋体" w:cs="Times New Roman"/>
          <w:bCs/>
          <w:snapToGrid w:val="0"/>
          <w:color w:val="auto"/>
          <w:kern w:val="0"/>
          <w:sz w:val="24"/>
          <w:szCs w:val="24"/>
        </w:rPr>
      </w:pPr>
      <w:r>
        <w:rPr>
          <w:rFonts w:hint="eastAsia" w:ascii="Times New Roman" w:hAnsi="Times New Roman" w:eastAsia="宋体" w:cs="Times New Roman"/>
          <w:bCs/>
          <w:snapToGrid w:val="0"/>
          <w:color w:val="auto"/>
          <w:kern w:val="0"/>
          <w:sz w:val="24"/>
          <w:szCs w:val="24"/>
        </w:rPr>
        <w:drawing>
          <wp:anchor distT="0" distB="0" distL="114300" distR="114300" simplePos="0" relativeHeight="251681792" behindDoc="0" locked="0" layoutInCell="1" allowOverlap="1">
            <wp:simplePos x="0" y="0"/>
            <wp:positionH relativeFrom="column">
              <wp:posOffset>-928370</wp:posOffset>
            </wp:positionH>
            <wp:positionV relativeFrom="paragraph">
              <wp:posOffset>-904875</wp:posOffset>
            </wp:positionV>
            <wp:extent cx="7576820" cy="10714355"/>
            <wp:effectExtent l="0" t="0" r="5080" b="10795"/>
            <wp:wrapNone/>
            <wp:docPr id="4" name="图片 4" descr="C:/Users/admin/AppData/Local/Temp/picturecompress_2021090809070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AppData/Local/Temp/picturecompress_20210908090708/output_1.pngoutput_1"/>
                    <pic:cNvPicPr>
                      <a:picLocks noChangeAspect="1"/>
                    </pic:cNvPicPr>
                  </pic:nvPicPr>
                  <pic:blipFill>
                    <a:blip r:embed="rId36"/>
                    <a:stretch>
                      <a:fillRect/>
                    </a:stretch>
                  </pic:blipFill>
                  <pic:spPr>
                    <a:xfrm>
                      <a:off x="0" y="0"/>
                      <a:ext cx="7576820" cy="10714355"/>
                    </a:xfrm>
                    <a:prstGeom prst="rect">
                      <a:avLst/>
                    </a:prstGeom>
                  </pic:spPr>
                </pic:pic>
              </a:graphicData>
            </a:graphic>
          </wp:anchor>
        </w:drawing>
      </w:r>
    </w:p>
    <w:p>
      <w:pPr>
        <w:rPr>
          <w:rFonts w:ascii="Times New Roman" w:hAnsi="Times New Roman" w:eastAsia="宋体"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Times New Roman" w:hAnsi="Times New Roman" w:eastAsia="宋体" w:cs="Times New Roman"/>
          <w:bCs/>
          <w:snapToGrid w:val="0"/>
          <w:color w:val="auto"/>
          <w:kern w:val="0"/>
          <w:sz w:val="24"/>
          <w:szCs w:val="24"/>
          <w:lang w:eastAsia="zh-CN"/>
        </w:rPr>
      </w:pPr>
      <w:r>
        <w:rPr>
          <w:rFonts w:hint="eastAsia" w:ascii="Times New Roman" w:hAnsi="Times New Roman" w:eastAsia="宋体" w:cs="Times New Roman"/>
          <w:bCs/>
          <w:snapToGrid w:val="0"/>
          <w:color w:val="auto"/>
          <w:kern w:val="0"/>
          <w:sz w:val="24"/>
          <w:szCs w:val="24"/>
          <w:lang w:eastAsia="zh-CN"/>
        </w:rPr>
        <w:drawing>
          <wp:anchor distT="0" distB="0" distL="114300" distR="114300" simplePos="0" relativeHeight="251682816" behindDoc="0" locked="0" layoutInCell="1" allowOverlap="1">
            <wp:simplePos x="0" y="0"/>
            <wp:positionH relativeFrom="column">
              <wp:posOffset>-2410460</wp:posOffset>
            </wp:positionH>
            <wp:positionV relativeFrom="paragraph">
              <wp:posOffset>727075</wp:posOffset>
            </wp:positionV>
            <wp:extent cx="10597515" cy="7494905"/>
            <wp:effectExtent l="0" t="0" r="10795" b="13335"/>
            <wp:wrapNone/>
            <wp:docPr id="8" name="图片 8" descr="C:/Users/admin/AppData/Local/Temp/picturecompress_2021090809074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AppData/Local/Temp/picturecompress_20210908090740/output_1.pngoutput_1"/>
                    <pic:cNvPicPr>
                      <a:picLocks noChangeAspect="1"/>
                    </pic:cNvPicPr>
                  </pic:nvPicPr>
                  <pic:blipFill>
                    <a:blip r:embed="rId37"/>
                    <a:stretch>
                      <a:fillRect/>
                    </a:stretch>
                  </pic:blipFill>
                  <pic:spPr>
                    <a:xfrm rot="16200000">
                      <a:off x="0" y="0"/>
                      <a:ext cx="10597515" cy="7494905"/>
                    </a:xfrm>
                    <a:prstGeom prst="rect">
                      <a:avLst/>
                    </a:prstGeom>
                  </pic:spPr>
                </pic:pic>
              </a:graphicData>
            </a:graphic>
          </wp:anchor>
        </w:drawing>
      </w:r>
      <w:r>
        <w:rPr>
          <w:rFonts w:ascii="Times New Roman" w:hAnsi="Times New Roman" w:eastAsia="宋体" w:cs="Times New Roman"/>
          <w:bCs/>
          <w:snapToGrid w:val="0"/>
          <w:color w:val="auto"/>
          <w:kern w:val="0"/>
          <w:sz w:val="24"/>
          <w:szCs w:val="24"/>
        </w:rPr>
        <w:br w:type="page"/>
      </w:r>
    </w:p>
    <w:p>
      <w:pPr>
        <w:rPr>
          <w:rFonts w:ascii="Times New Roman" w:hAnsi="Times New Roman" w:eastAsia="宋体" w:cs="Times New Roman"/>
          <w:bCs/>
          <w:snapToGrid w:val="0"/>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olor w:val="auto"/>
        </w:rPr>
        <mc:AlternateContent>
          <mc:Choice Requires="wps">
            <w:drawing>
              <wp:anchor distT="0" distB="0" distL="114300" distR="114300" simplePos="0" relativeHeight="251663360" behindDoc="0" locked="0" layoutInCell="1" allowOverlap="1">
                <wp:simplePos x="0" y="0"/>
                <wp:positionH relativeFrom="column">
                  <wp:posOffset>2919095</wp:posOffset>
                </wp:positionH>
                <wp:positionV relativeFrom="paragraph">
                  <wp:posOffset>3049270</wp:posOffset>
                </wp:positionV>
                <wp:extent cx="1316990" cy="344170"/>
                <wp:effectExtent l="209550" t="19050" r="0" b="18415"/>
                <wp:wrapNone/>
                <wp:docPr id="12" name="椭圆形标注 1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29.85pt;margin-top:240.1pt;height:27.1pt;width:103.7pt;z-index:251663360;mso-width-relative:page;mso-height-relative:page;" filled="f" stroked="t" coordsize="21600,21600" o:gfxdata="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7dx93bAAAACwEAAA8AAAAAAAAAAQAgAAAAIgAAAGRycy9k&#10;b3ducmV2LnhtbFBLAQIUABQAAAAIAIdO4kAehn8wcQIAAL0EAAAOAAAAAAAAAAEAIAAAACoBAABk&#10;cnMvZTJvRG9jLnhtbFBLBQYAAAAABgAGAFkBAAANBg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ascii="Times New Roman" w:hAnsi="Times New Roman" w:eastAsia="宋体" w:cs="Times New Roman"/>
          <w:bCs/>
          <w:color w:val="auto"/>
          <w:kern w:val="0"/>
          <w:sz w:val="24"/>
          <w:szCs w:val="24"/>
        </w:rPr>
        <w:drawing>
          <wp:anchor distT="0" distB="0" distL="114300" distR="114300" simplePos="0" relativeHeight="251662336" behindDoc="1" locked="0" layoutInCell="1" allowOverlap="1">
            <wp:simplePos x="0" y="0"/>
            <wp:positionH relativeFrom="column">
              <wp:posOffset>-340360</wp:posOffset>
            </wp:positionH>
            <wp:positionV relativeFrom="paragraph">
              <wp:posOffset>327660</wp:posOffset>
            </wp:positionV>
            <wp:extent cx="6217285" cy="7369810"/>
            <wp:effectExtent l="0" t="0" r="0" b="3175"/>
            <wp:wrapNone/>
            <wp:docPr id="11" name="图片 11" descr="C:\Users\Administrator\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1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228938" cy="7383604"/>
                    </a:xfrm>
                    <a:prstGeom prst="rect">
                      <a:avLst/>
                    </a:prstGeom>
                    <a:noFill/>
                    <a:ln>
                      <a:noFill/>
                    </a:ln>
                  </pic:spPr>
                </pic:pic>
              </a:graphicData>
            </a:graphic>
          </wp:anchor>
        </w:drawing>
      </w:r>
      <w:r>
        <w:rPr>
          <w:rFonts w:ascii="Times New Roman" w:hAnsi="Times New Roman" w:eastAsia="宋体" w:cs="Times New Roman"/>
          <w:bCs/>
          <w:snapToGrid w:val="0"/>
          <w:color w:val="auto"/>
          <w:kern w:val="0"/>
          <w:sz w:val="24"/>
          <w:szCs w:val="24"/>
        </w:rPr>
        <w:t>附图</w:t>
      </w:r>
      <w:r>
        <w:rPr>
          <w:rFonts w:hint="eastAsia" w:ascii="Times New Roman" w:hAnsi="Times New Roman" w:eastAsia="宋体" w:cs="Times New Roman"/>
          <w:bCs/>
          <w:snapToGrid w:val="0"/>
          <w:color w:val="auto"/>
          <w:kern w:val="0"/>
          <w:sz w:val="24"/>
          <w:szCs w:val="24"/>
          <w:lang w:val="en-US" w:eastAsia="zh-CN"/>
        </w:rPr>
        <w:t>6</w:t>
      </w:r>
      <w:r>
        <w:rPr>
          <w:rFonts w:hint="eastAsia" w:ascii="Times New Roman" w:hAnsi="Times New Roman" w:eastAsia="宋体" w:cs="Times New Roman"/>
          <w:bCs/>
          <w:snapToGrid w:val="0"/>
          <w:color w:val="auto"/>
          <w:kern w:val="0"/>
          <w:sz w:val="24"/>
          <w:szCs w:val="24"/>
        </w:rPr>
        <w:t>柳林县地表水系图</w:t>
      </w:r>
    </w:p>
    <w:p>
      <w:pPr>
        <w:rPr>
          <w:rFonts w:ascii="Times New Roman" w:hAnsi="Times New Roman" w:eastAsia="宋体" w:cs="Times New Roman"/>
          <w:bCs/>
          <w:snapToGrid w:val="0"/>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olor w:val="auto"/>
        </w:rPr>
        <mc:AlternateContent>
          <mc:Choice Requires="wps">
            <w:drawing>
              <wp:anchor distT="0" distB="0" distL="114300" distR="114300" simplePos="0" relativeHeight="251665408" behindDoc="0" locked="0" layoutInCell="1" allowOverlap="1">
                <wp:simplePos x="0" y="0"/>
                <wp:positionH relativeFrom="column">
                  <wp:posOffset>3605530</wp:posOffset>
                </wp:positionH>
                <wp:positionV relativeFrom="paragraph">
                  <wp:posOffset>2648585</wp:posOffset>
                </wp:positionV>
                <wp:extent cx="1316990" cy="344170"/>
                <wp:effectExtent l="209550" t="19050" r="0" b="18415"/>
                <wp:wrapNone/>
                <wp:docPr id="17" name="椭圆形标注 17"/>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83.9pt;margin-top:208.55pt;height:27.1pt;width:103.7pt;z-index:251665408;mso-width-relative:page;mso-height-relative:page;" filled="f" stroked="t" coordsize="21600,21600" o:gfxdata="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mi+yDaAAAACwEAAA8AAAAAAAAAAQAgAAAAIgAAAGRycy9k&#10;b3ducmV2LnhtbFBLAQIUABQAAAAIAIdO4kCN7mqmcgIAAL0EAAAOAAAAAAAAAAEAIAAAACkBAABk&#10;cnMvZTJvRG9jLnhtbFBLBQYAAAAABgAGAFkBAAANBg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snapToGrid w:val="0"/>
          <w:color w:val="auto"/>
          <w:kern w:val="0"/>
          <w:sz w:val="24"/>
          <w:szCs w:val="24"/>
        </w:rPr>
        <w:t>附</w:t>
      </w:r>
      <w:r>
        <w:rPr>
          <w:rFonts w:ascii="Times New Roman" w:hAnsi="Times New Roman" w:eastAsia="宋体" w:cs="Times New Roman"/>
          <w:color w:val="auto"/>
        </w:rPr>
        <w:drawing>
          <wp:anchor distT="0" distB="0" distL="114300" distR="114300" simplePos="0" relativeHeight="251664384" behindDoc="1" locked="0" layoutInCell="1" allowOverlap="1">
            <wp:simplePos x="0" y="0"/>
            <wp:positionH relativeFrom="margin">
              <wp:align>center</wp:align>
            </wp:positionH>
            <wp:positionV relativeFrom="paragraph">
              <wp:posOffset>459740</wp:posOffset>
            </wp:positionV>
            <wp:extent cx="5192395" cy="7982585"/>
            <wp:effectExtent l="19050" t="19050" r="27305" b="18415"/>
            <wp:wrapNone/>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noChangeArrowheads="1"/>
                    </pic:cNvPicPr>
                  </pic:nvPicPr>
                  <pic:blipFill>
                    <a:blip r:embed="rId39"/>
                    <a:srcRect/>
                    <a:stretch>
                      <a:fillRect/>
                    </a:stretch>
                  </pic:blipFill>
                  <pic:spPr>
                    <a:xfrm>
                      <a:off x="0" y="0"/>
                      <a:ext cx="5192395" cy="7982585"/>
                    </a:xfrm>
                    <a:prstGeom prst="rect">
                      <a:avLst/>
                    </a:prstGeom>
                    <a:noFill/>
                    <a:ln w="9525">
                      <a:solidFill>
                        <a:srgbClr val="000000"/>
                      </a:solidFill>
                      <a:miter lim="800000"/>
                      <a:headEnd/>
                      <a:tailEnd/>
                    </a:ln>
                  </pic:spPr>
                </pic:pic>
              </a:graphicData>
            </a:graphic>
          </wp:anchor>
        </w:drawing>
      </w:r>
      <w:r>
        <w:rPr>
          <w:rFonts w:hint="eastAsia" w:ascii="Times New Roman" w:hAnsi="Times New Roman" w:eastAsia="宋体" w:cs="Times New Roman"/>
          <w:bCs/>
          <w:snapToGrid w:val="0"/>
          <w:color w:val="auto"/>
          <w:kern w:val="0"/>
          <w:sz w:val="24"/>
          <w:szCs w:val="24"/>
        </w:rPr>
        <w:t>图7柳林县生态功能分区图</w:t>
      </w:r>
    </w:p>
    <w:p>
      <w:pPr>
        <w:rPr>
          <w:rFonts w:ascii="Times New Roman" w:hAnsi="Times New Roman" w:eastAsia="宋体" w:cs="Times New Roman"/>
          <w:bCs/>
          <w:snapToGrid w:val="0"/>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olor w:val="auto"/>
        </w:rPr>
        <mc:AlternateContent>
          <mc:Choice Requires="wps">
            <w:drawing>
              <wp:anchor distT="0" distB="0" distL="114300" distR="114300" simplePos="0" relativeHeight="251667456" behindDoc="0" locked="0" layoutInCell="1" allowOverlap="1">
                <wp:simplePos x="0" y="0"/>
                <wp:positionH relativeFrom="column">
                  <wp:posOffset>3248660</wp:posOffset>
                </wp:positionH>
                <wp:positionV relativeFrom="paragraph">
                  <wp:posOffset>2524760</wp:posOffset>
                </wp:positionV>
                <wp:extent cx="1116330" cy="361950"/>
                <wp:effectExtent l="161925" t="5080" r="17145" b="13970"/>
                <wp:wrapNone/>
                <wp:docPr id="20" name="椭圆形标注 20"/>
                <wp:cNvGraphicFramePr/>
                <a:graphic xmlns:a="http://schemas.openxmlformats.org/drawingml/2006/main">
                  <a:graphicData uri="http://schemas.microsoft.com/office/word/2010/wordprocessingShape">
                    <wps:wsp>
                      <wps:cNvSpPr>
                        <a:spLocks noChangeArrowheads="1"/>
                      </wps:cNvSpPr>
                      <wps:spPr bwMode="auto">
                        <a:xfrm>
                          <a:off x="0" y="0"/>
                          <a:ext cx="1116330" cy="361950"/>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55.8pt;margin-top:198.8pt;height:28.5pt;width:87.9pt;z-index:251667456;mso-width-relative:page;mso-height-relative:page;" filled="f" stroked="t" coordsize="21600,21600" o:gfxdata="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W5PPJ2gAAAAsBAAAPAAAAAAAAAAEAIAAAACIAAABkcnMvZG93&#10;bnJldi54bWxQSwECFAAUAAAACACHTuJAqQwzmnACAAC9BAAADgAAAAAAAAABACAAAAApAQAAZHJz&#10;L2Uyb0RvYy54bWxQSwUGAAAAAAYABgBZAQAACwY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snapToGrid w:val="0"/>
          <w:color w:val="auto"/>
          <w:kern w:val="0"/>
          <w:sz w:val="24"/>
          <w:szCs w:val="24"/>
        </w:rPr>
        <w:t>附</w:t>
      </w:r>
      <w:r>
        <w:rPr>
          <w:rFonts w:hint="eastAsia" w:ascii="Times New Roman" w:hAnsi="Times New Roman" w:eastAsia="宋体" w:cs="Times New Roman"/>
          <w:bCs/>
          <w:color w:val="auto"/>
          <w:kern w:val="0"/>
          <w:sz w:val="24"/>
          <w:szCs w:val="24"/>
        </w:rPr>
        <w:drawing>
          <wp:anchor distT="0" distB="0" distL="114300" distR="114300" simplePos="0" relativeHeight="251666432" behindDoc="0" locked="0" layoutInCell="1" allowOverlap="1">
            <wp:simplePos x="0" y="0"/>
            <wp:positionH relativeFrom="margin">
              <wp:align>center</wp:align>
            </wp:positionH>
            <wp:positionV relativeFrom="paragraph">
              <wp:posOffset>306070</wp:posOffset>
            </wp:positionV>
            <wp:extent cx="5493385" cy="7727950"/>
            <wp:effectExtent l="0" t="0" r="0" b="6350"/>
            <wp:wrapNone/>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noChangeArrowheads="1"/>
                    </pic:cNvPicPr>
                  </pic:nvPicPr>
                  <pic:blipFill>
                    <a:blip r:embed="rId40"/>
                    <a:srcRect/>
                    <a:stretch>
                      <a:fillRect/>
                    </a:stretch>
                  </pic:blipFill>
                  <pic:spPr>
                    <a:xfrm>
                      <a:off x="0" y="0"/>
                      <a:ext cx="5493385" cy="7727950"/>
                    </a:xfrm>
                    <a:prstGeom prst="rect">
                      <a:avLst/>
                    </a:prstGeom>
                    <a:noFill/>
                    <a:ln>
                      <a:noFill/>
                    </a:ln>
                  </pic:spPr>
                </pic:pic>
              </a:graphicData>
            </a:graphic>
          </wp:anchor>
        </w:drawing>
      </w:r>
      <w:r>
        <w:rPr>
          <w:rFonts w:hint="eastAsia" w:ascii="Times New Roman" w:hAnsi="Times New Roman" w:eastAsia="宋体" w:cs="Times New Roman"/>
          <w:bCs/>
          <w:snapToGrid w:val="0"/>
          <w:color w:val="auto"/>
          <w:kern w:val="0"/>
          <w:sz w:val="24"/>
          <w:szCs w:val="24"/>
        </w:rPr>
        <w:t>图8柳林县生态经济分区图</w:t>
      </w:r>
    </w:p>
    <w:p>
      <w:pPr>
        <w:rPr>
          <w:rFonts w:hint="eastAsia" w:ascii="Times New Roman" w:hAnsi="Times New Roman" w:eastAsia="宋体" w:cs="Times New Roman"/>
          <w:bCs/>
          <w:color w:val="auto"/>
        </w:rPr>
      </w:pPr>
      <w:r>
        <w:rPr>
          <w:rFonts w:hint="eastAsia" w:ascii="Times New Roman" w:hAnsi="Times New Roman" w:eastAsia="宋体" w:cs="Times New Roman"/>
          <w:bCs/>
          <w:color w:val="auto"/>
        </w:rPr>
        <w:t>附</w:t>
      </w:r>
      <w:r>
        <w:rPr>
          <w:rFonts w:ascii="Times New Roman" w:hAnsi="Times New Roman" w:eastAsia="宋体" w:cs="Times New Roman"/>
          <w:color w:val="auto"/>
        </w:rPr>
        <w:drawing>
          <wp:anchor distT="0" distB="0" distL="114300" distR="114300" simplePos="0" relativeHeight="251668480" behindDoc="1" locked="0" layoutInCell="1" allowOverlap="1">
            <wp:simplePos x="0" y="0"/>
            <wp:positionH relativeFrom="margin">
              <wp:align>center</wp:align>
            </wp:positionH>
            <wp:positionV relativeFrom="paragraph">
              <wp:posOffset>432435</wp:posOffset>
            </wp:positionV>
            <wp:extent cx="7294245" cy="4911090"/>
            <wp:effectExtent l="0" t="0" r="1905" b="3810"/>
            <wp:wrapNone/>
            <wp:docPr id="21" name="图片 21" descr="C:\Users\Administrator\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123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294245" cy="4911090"/>
                    </a:xfrm>
                    <a:prstGeom prst="rect">
                      <a:avLst/>
                    </a:prstGeom>
                    <a:noFill/>
                    <a:ln>
                      <a:noFill/>
                    </a:ln>
                  </pic:spPr>
                </pic:pic>
              </a:graphicData>
            </a:graphic>
          </wp:anchor>
        </w:drawing>
      </w:r>
      <w:r>
        <w:rPr>
          <w:rFonts w:hint="eastAsia" w:ascii="Times New Roman" w:hAnsi="Times New Roman" w:eastAsia="宋体" w:cs="Times New Roman"/>
          <w:bCs/>
          <w:color w:val="auto"/>
        </w:rPr>
        <w:t>图9柳林县城市总体规划图</w:t>
      </w: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r>
        <w:rPr>
          <w:rFonts w:ascii="Times New Roman" w:hAnsi="Times New Roman" w:eastAsia="宋体"/>
          <w:color w:val="auto"/>
        </w:rPr>
        <mc:AlternateContent>
          <mc:Choice Requires="wps">
            <w:drawing>
              <wp:anchor distT="0" distB="0" distL="114300" distR="114300" simplePos="0" relativeHeight="251669504" behindDoc="0" locked="0" layoutInCell="1" allowOverlap="1">
                <wp:simplePos x="0" y="0"/>
                <wp:positionH relativeFrom="column">
                  <wp:posOffset>6179185</wp:posOffset>
                </wp:positionH>
                <wp:positionV relativeFrom="paragraph">
                  <wp:posOffset>8255</wp:posOffset>
                </wp:positionV>
                <wp:extent cx="1316990" cy="344170"/>
                <wp:effectExtent l="209550" t="19050" r="0" b="18415"/>
                <wp:wrapNone/>
                <wp:docPr id="22" name="椭圆形标注 2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486.55pt;margin-top:0.65pt;height:27.1pt;width:103.7pt;z-index:251669504;mso-width-relative:page;mso-height-relative:page;" filled="f" stroked="t" coordsize="21600,21600" o:gfxdata="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e5Ug32AAAAAkBAAAPAAAAAAAAAAEAIAAAACIAAABkcnMvZG93&#10;bnJldi54bWxQSwECFAAUAAAACACHTuJAbMsPF3ICAAC9BAAADgAAAAAAAAABACAAAAAnAQAAZHJz&#10;L2Uyb0RvYy54bWxQSwUGAAAAAAYABgBZAQAACwY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rPr>
      </w:pPr>
    </w:p>
    <w:p>
      <w:pPr>
        <w:rPr>
          <w:rFonts w:hint="eastAsia" w:ascii="Times New Roman" w:hAnsi="Times New Roman" w:eastAsia="宋体" w:cs="Times New Roman"/>
          <w:bCs/>
          <w:color w:val="auto"/>
          <w:lang w:val="en-US" w:eastAsia="zh-CN"/>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Times New Roman" w:hAnsi="Times New Roman" w:eastAsia="宋体" w:cs="Times New Roman"/>
          <w:bCs/>
          <w:color w:val="auto"/>
        </w:rPr>
      </w:pPr>
    </w:p>
    <w:p>
      <w:pPr>
        <w:rPr>
          <w:rFonts w:hint="eastAsia" w:ascii="Times New Roman" w:hAnsi="Times New Roman" w:eastAsia="宋体" w:cs="Times New Roman"/>
          <w:bCs/>
          <w:snapToGrid w:val="0"/>
          <w:color w:val="000000" w:themeColor="text1"/>
          <w:kern w:val="0"/>
          <w:sz w:val="24"/>
          <w:highlight w:val="none"/>
          <w14:textFill>
            <w14:solidFill>
              <w14:schemeClr w14:val="tx1"/>
            </w14:solidFill>
          </w14:textFill>
        </w:rPr>
      </w:pPr>
      <w:r>
        <w:rPr>
          <w:rFonts w:hint="eastAsia" w:ascii="Times New Roman" w:hAnsi="Times New Roman" w:eastAsia="宋体" w:cs="Times New Roman"/>
          <w:bCs/>
          <w:snapToGrid w:val="0"/>
          <w:color w:val="000000" w:themeColor="text1"/>
          <w:kern w:val="0"/>
          <w:sz w:val="24"/>
          <w:highlight w:val="none"/>
          <w14:textFill>
            <w14:solidFill>
              <w14:schemeClr w14:val="tx1"/>
            </w14:solidFill>
          </w14:textFill>
        </w:rPr>
        <w:t>附件1委托书</w:t>
      </w:r>
    </w:p>
    <w:p>
      <w:pPr>
        <w:pStyle w:val="5"/>
        <w:rPr>
          <w:rFonts w:hint="eastAsia" w:ascii="Times New Roman" w:hAnsi="Times New Roman" w:eastAsia="宋体" w:cs="Times New Roman"/>
          <w:bCs/>
          <w:snapToGrid w:val="0"/>
          <w:color w:val="auto"/>
          <w:kern w:val="0"/>
          <w:sz w:val="24"/>
          <w:highlight w:val="yellow"/>
        </w:rPr>
      </w:pPr>
    </w:p>
    <w:p>
      <w:pPr>
        <w:jc w:val="center"/>
        <w:rPr>
          <w:rFonts w:hint="eastAsia" w:ascii="Times New Roman" w:hAnsi="Times New Roman" w:eastAsia="宋体"/>
          <w:b/>
          <w:bCs/>
          <w:color w:val="auto"/>
          <w:sz w:val="44"/>
          <w:szCs w:val="44"/>
        </w:rPr>
      </w:pPr>
      <w:r>
        <w:rPr>
          <w:rFonts w:hint="eastAsia" w:ascii="Times New Roman" w:hAnsi="Times New Roman" w:eastAsia="宋体"/>
          <w:b/>
          <w:bCs/>
          <w:color w:val="auto"/>
          <w:sz w:val="44"/>
          <w:szCs w:val="44"/>
        </w:rPr>
        <w:t>建设项目环境影响评价</w:t>
      </w:r>
    </w:p>
    <w:p>
      <w:pPr>
        <w:jc w:val="center"/>
        <w:rPr>
          <w:rFonts w:hint="eastAsia" w:ascii="Times New Roman" w:hAnsi="Times New Roman" w:eastAsia="宋体"/>
          <w:b/>
          <w:bCs/>
          <w:color w:val="auto"/>
          <w:kern w:val="11"/>
          <w:sz w:val="44"/>
          <w:szCs w:val="44"/>
        </w:rPr>
      </w:pPr>
      <w:r>
        <w:rPr>
          <w:rFonts w:hint="eastAsia" w:ascii="Times New Roman" w:hAnsi="Times New Roman" w:eastAsia="宋体"/>
          <w:b/>
          <w:bCs/>
          <w:color w:val="auto"/>
          <w:kern w:val="11"/>
          <w:sz w:val="44"/>
          <w:szCs w:val="44"/>
        </w:rPr>
        <w:t>委托书</w:t>
      </w:r>
    </w:p>
    <w:p>
      <w:pPr>
        <w:pStyle w:val="10"/>
        <w:rPr>
          <w:rFonts w:hint="eastAsia" w:ascii="Times New Roman" w:hAnsi="Times New Roman" w:eastAsia="宋体"/>
          <w:color w:val="auto"/>
        </w:rPr>
      </w:pPr>
    </w:p>
    <w:p>
      <w:pPr>
        <w:ind w:left="0" w:leftChars="0" w:firstLine="0" w:firstLineChars="0"/>
        <w:rPr>
          <w:rFonts w:hint="eastAsia" w:ascii="Times New Roman" w:hAnsi="Times New Roman" w:eastAsia="宋体"/>
          <w:color w:val="auto"/>
          <w:sz w:val="28"/>
          <w:szCs w:val="28"/>
        </w:rPr>
      </w:pPr>
      <w:r>
        <w:rPr>
          <w:rFonts w:hint="eastAsia" w:ascii="Times New Roman" w:hAnsi="Times New Roman" w:eastAsia="宋体"/>
          <w:color w:val="auto"/>
          <w:sz w:val="28"/>
          <w:szCs w:val="28"/>
          <w:lang w:eastAsia="zh-CN"/>
        </w:rPr>
        <w:t>山西新蓝环境咨询有限公司</w:t>
      </w:r>
      <w:r>
        <w:rPr>
          <w:rFonts w:hint="eastAsia" w:ascii="Times New Roman" w:hAnsi="Times New Roman" w:eastAsia="宋体"/>
          <w:color w:val="auto"/>
          <w:sz w:val="28"/>
          <w:szCs w:val="28"/>
        </w:rPr>
        <w:t>：</w:t>
      </w:r>
    </w:p>
    <w:p>
      <w:pPr>
        <w:overflowPunct w:val="0"/>
        <w:spacing w:line="360" w:lineRule="auto"/>
        <w:ind w:firstLine="480"/>
        <w:rPr>
          <w:rFonts w:hint="eastAsia" w:ascii="Times New Roman" w:hAnsi="Times New Roman" w:eastAsia="宋体"/>
          <w:color w:val="auto"/>
          <w:sz w:val="28"/>
          <w:szCs w:val="28"/>
        </w:rPr>
      </w:pPr>
      <w:r>
        <w:rPr>
          <w:rFonts w:hint="eastAsia" w:ascii="Times New Roman" w:hAnsi="Times New Roman" w:eastAsia="宋体"/>
          <w:color w:val="auto"/>
          <w:sz w:val="28"/>
          <w:szCs w:val="28"/>
        </w:rPr>
        <w:t>根据《中华人民共和国环境保护法》、《中华人民共和国环境影响评价法》、《建设项目环境保护管理条例》（国务院令第687号）的有关规定，委托贵公司对我单位</w:t>
      </w:r>
      <w:r>
        <w:rPr>
          <w:rFonts w:hint="eastAsia" w:ascii="Times New Roman" w:hAnsi="Times New Roman" w:eastAsia="宋体"/>
          <w:color w:val="auto"/>
          <w:sz w:val="28"/>
          <w:szCs w:val="28"/>
          <w:u w:val="single"/>
          <w:lang w:eastAsia="zh-CN"/>
        </w:rPr>
        <w:t>矿山设备加工及维修项目</w:t>
      </w:r>
      <w:r>
        <w:rPr>
          <w:rFonts w:hint="eastAsia" w:ascii="Times New Roman" w:hAnsi="Times New Roman" w:eastAsia="宋体"/>
          <w:color w:val="auto"/>
          <w:sz w:val="28"/>
          <w:szCs w:val="28"/>
        </w:rPr>
        <w:t>进行环境影响评价工作，请按国家有关环境影响评价技术规范、相关法律法规和要求，编制环境影响评价报告。</w:t>
      </w:r>
    </w:p>
    <w:p>
      <w:pPr>
        <w:ind w:firstLine="560" w:firstLineChars="200"/>
        <w:rPr>
          <w:rFonts w:hint="eastAsia" w:ascii="Times New Roman" w:hAnsi="Times New Roman" w:eastAsia="宋体"/>
          <w:color w:val="auto"/>
          <w:sz w:val="28"/>
          <w:szCs w:val="28"/>
          <w:lang w:eastAsia="zh-CN"/>
        </w:rPr>
      </w:pPr>
    </w:p>
    <w:p>
      <w:pPr>
        <w:ind w:firstLine="560" w:firstLineChars="200"/>
        <w:rPr>
          <w:rFonts w:hint="eastAsia" w:ascii="Times New Roman" w:hAnsi="Times New Roman" w:eastAsia="宋体"/>
          <w:color w:val="auto"/>
          <w:sz w:val="28"/>
          <w:szCs w:val="28"/>
        </w:rPr>
      </w:pPr>
    </w:p>
    <w:p>
      <w:pPr>
        <w:jc w:val="right"/>
        <w:rPr>
          <w:rFonts w:hint="eastAsia" w:ascii="Times New Roman" w:hAnsi="Times New Roman" w:eastAsia="宋体"/>
          <w:color w:val="auto"/>
          <w:sz w:val="28"/>
          <w:szCs w:val="28"/>
        </w:rPr>
      </w:pPr>
      <w:r>
        <w:rPr>
          <w:rFonts w:hint="eastAsia" w:ascii="Times New Roman" w:hAnsi="Times New Roman" w:eastAsia="宋体"/>
          <w:color w:val="auto"/>
          <w:sz w:val="28"/>
          <w:szCs w:val="28"/>
        </w:rPr>
        <w:t>委托单位（盖章）：</w:t>
      </w:r>
      <w:r>
        <w:rPr>
          <w:rFonts w:hint="eastAsia" w:ascii="Times New Roman" w:hAnsi="Times New Roman" w:eastAsia="宋体"/>
          <w:color w:val="auto"/>
          <w:sz w:val="28"/>
          <w:szCs w:val="28"/>
          <w:lang w:val="en-US" w:eastAsia="zh-CN"/>
        </w:rPr>
        <w:t>柳林县鑫创设备再制造科技有限公司</w:t>
      </w:r>
    </w:p>
    <w:p>
      <w:pPr>
        <w:jc w:val="right"/>
        <w:rPr>
          <w:rFonts w:ascii="Times New Roman" w:hAnsi="Times New Roman" w:eastAsia="宋体"/>
          <w:color w:val="auto"/>
        </w:rPr>
      </w:pPr>
      <w:r>
        <w:rPr>
          <w:rFonts w:hint="eastAsia" w:ascii="Times New Roman" w:hAnsi="Times New Roman" w:eastAsia="宋体"/>
          <w:color w:val="auto"/>
          <w:sz w:val="28"/>
          <w:szCs w:val="28"/>
          <w:lang w:val="en-US" w:eastAsia="zh-CN"/>
        </w:rPr>
        <w:t>2021</w:t>
      </w:r>
      <w:r>
        <w:rPr>
          <w:rFonts w:hint="eastAsia" w:ascii="Times New Roman" w:hAnsi="Times New Roman" w:eastAsia="宋体"/>
          <w:color w:val="auto"/>
          <w:sz w:val="28"/>
          <w:szCs w:val="28"/>
        </w:rPr>
        <w:t>年</w:t>
      </w:r>
      <w:r>
        <w:rPr>
          <w:rFonts w:hint="eastAsia" w:ascii="Times New Roman" w:hAnsi="Times New Roman" w:eastAsia="宋体"/>
          <w:color w:val="auto"/>
          <w:sz w:val="28"/>
          <w:szCs w:val="28"/>
          <w:lang w:val="en-US" w:eastAsia="zh-CN"/>
        </w:rPr>
        <w:t>5</w:t>
      </w:r>
      <w:r>
        <w:rPr>
          <w:rFonts w:hint="eastAsia" w:ascii="Times New Roman" w:hAnsi="Times New Roman" w:eastAsia="宋体"/>
          <w:color w:val="auto"/>
          <w:sz w:val="28"/>
          <w:szCs w:val="28"/>
        </w:rPr>
        <w:t>月</w:t>
      </w:r>
      <w:r>
        <w:rPr>
          <w:rFonts w:hint="eastAsia" w:ascii="Times New Roman" w:hAnsi="Times New Roman" w:eastAsia="宋体"/>
          <w:color w:val="auto"/>
          <w:sz w:val="28"/>
          <w:szCs w:val="28"/>
          <w:lang w:val="en-US" w:eastAsia="zh-CN"/>
        </w:rPr>
        <w:t>19</w:t>
      </w:r>
      <w:r>
        <w:rPr>
          <w:rFonts w:hint="eastAsia" w:ascii="Times New Roman" w:hAnsi="Times New Roman" w:eastAsia="宋体"/>
          <w:color w:val="auto"/>
          <w:sz w:val="28"/>
          <w:szCs w:val="28"/>
        </w:rPr>
        <w:t>日</w:t>
      </w:r>
    </w:p>
    <w:p>
      <w:pPr>
        <w:jc w:val="right"/>
        <w:rPr>
          <w:rFonts w:hint="eastAsia" w:ascii="Times New Roman" w:hAnsi="Times New Roman" w:eastAsia="宋体"/>
          <w:color w:val="auto"/>
          <w:lang w:eastAsia="zh-C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adjustRightInd w:val="0"/>
        <w:snapToGrid w:val="0"/>
        <w:spacing w:before="156" w:beforeLines="50" w:after="156" w:afterLines="50"/>
        <w:rPr>
          <w:rFonts w:ascii="Times New Roman" w:hAnsi="Times New Roman" w:eastAsia="宋体"/>
          <w:bCs/>
          <w:snapToGrid w:val="0"/>
          <w:color w:val="auto"/>
          <w:kern w:val="0"/>
          <w:sz w:val="24"/>
        </w:rPr>
      </w:pPr>
      <w:r>
        <w:rPr>
          <w:rFonts w:hint="eastAsia" w:ascii="Times New Roman" w:hAnsi="Times New Roman" w:eastAsia="宋体" w:cs="Times New Roman"/>
          <w:color w:val="auto"/>
          <w:lang w:eastAsia="zh-CN"/>
        </w:rPr>
        <w:drawing>
          <wp:anchor distT="0" distB="0" distL="114300" distR="114300" simplePos="0" relativeHeight="251675648" behindDoc="1" locked="0" layoutInCell="1" allowOverlap="1">
            <wp:simplePos x="0" y="0"/>
            <wp:positionH relativeFrom="column">
              <wp:posOffset>392430</wp:posOffset>
            </wp:positionH>
            <wp:positionV relativeFrom="paragraph">
              <wp:posOffset>287655</wp:posOffset>
            </wp:positionV>
            <wp:extent cx="8243570" cy="5992495"/>
            <wp:effectExtent l="0" t="0" r="5080" b="8255"/>
            <wp:wrapNone/>
            <wp:docPr id="15" name="图片 15" descr="微信图片_20210524170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105241709466"/>
                    <pic:cNvPicPr>
                      <a:picLocks noChangeAspect="1"/>
                    </pic:cNvPicPr>
                  </pic:nvPicPr>
                  <pic:blipFill>
                    <a:blip r:embed="rId42"/>
                    <a:stretch>
                      <a:fillRect/>
                    </a:stretch>
                  </pic:blipFill>
                  <pic:spPr>
                    <a:xfrm>
                      <a:off x="0" y="0"/>
                      <a:ext cx="8243570" cy="5992495"/>
                    </a:xfrm>
                    <a:prstGeom prst="rect">
                      <a:avLst/>
                    </a:prstGeom>
                  </pic:spPr>
                </pic:pic>
              </a:graphicData>
            </a:graphic>
          </wp:anchor>
        </w:drawing>
      </w:r>
      <w:r>
        <w:rPr>
          <w:rFonts w:hint="eastAsia" w:ascii="Times New Roman" w:hAnsi="Times New Roman" w:eastAsia="宋体"/>
          <w:bCs/>
          <w:snapToGrid w:val="0"/>
          <w:color w:val="auto"/>
          <w:kern w:val="0"/>
          <w:sz w:val="24"/>
        </w:rPr>
        <w:t>附件2备案证</w:t>
      </w:r>
    </w:p>
    <w:p>
      <w:pPr>
        <w:rPr>
          <w:rFonts w:hint="eastAsia" w:ascii="Times New Roman" w:hAnsi="Times New Roman" w:eastAsia="宋体" w:cs="Times New Roman"/>
          <w:color w:val="auto"/>
          <w:lang w:eastAsia="zh-CN"/>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adjustRightInd w:val="0"/>
        <w:snapToGrid w:val="0"/>
        <w:spacing w:before="156" w:beforeLines="50" w:after="156" w:afterLines="50"/>
        <w:rPr>
          <w:rFonts w:hint="eastAsia" w:ascii="Times New Roman" w:hAnsi="Times New Roman" w:eastAsia="宋体" w:cs="Times New Roman"/>
          <w:bCs/>
          <w:snapToGrid w:val="0"/>
          <w:color w:val="auto"/>
          <w:kern w:val="0"/>
          <w:sz w:val="24"/>
          <w:szCs w:val="24"/>
          <w:lang w:eastAsia="zh-CN"/>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bCs/>
          <w:snapToGrid w:val="0"/>
          <w:color w:val="auto"/>
          <w:kern w:val="0"/>
          <w:sz w:val="24"/>
          <w:szCs w:val="24"/>
          <w:lang w:eastAsia="zh-CN"/>
        </w:rPr>
        <w:drawing>
          <wp:anchor distT="0" distB="0" distL="114300" distR="114300" simplePos="0" relativeHeight="251675648" behindDoc="1" locked="0" layoutInCell="1" allowOverlap="1">
            <wp:simplePos x="0" y="0"/>
            <wp:positionH relativeFrom="column">
              <wp:posOffset>47625</wp:posOffset>
            </wp:positionH>
            <wp:positionV relativeFrom="paragraph">
              <wp:posOffset>-167005</wp:posOffset>
            </wp:positionV>
            <wp:extent cx="8682355" cy="6212205"/>
            <wp:effectExtent l="0" t="0" r="4445" b="17145"/>
            <wp:wrapNone/>
            <wp:docPr id="18" name="图片 18" descr="微信图片_2021052417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10524170946"/>
                    <pic:cNvPicPr>
                      <a:picLocks noChangeAspect="1"/>
                    </pic:cNvPicPr>
                  </pic:nvPicPr>
                  <pic:blipFill>
                    <a:blip r:embed="rId43"/>
                    <a:stretch>
                      <a:fillRect/>
                    </a:stretch>
                  </pic:blipFill>
                  <pic:spPr>
                    <a:xfrm>
                      <a:off x="0" y="0"/>
                      <a:ext cx="8682355" cy="6212205"/>
                    </a:xfrm>
                    <a:prstGeom prst="rect">
                      <a:avLst/>
                    </a:prstGeom>
                  </pic:spPr>
                </pic:pic>
              </a:graphicData>
            </a:graphic>
          </wp:anchor>
        </w:drawing>
      </w:r>
      <w:r>
        <w:rPr>
          <w:rFonts w:ascii="Times New Roman" w:hAnsi="Times New Roman" w:eastAsia="宋体" w:cs="Times New Roman"/>
          <w:bCs/>
          <w:snapToGrid w:val="0"/>
          <w:color w:val="auto"/>
          <w:kern w:val="0"/>
          <w:sz w:val="24"/>
          <w:szCs w:val="24"/>
        </w:rPr>
        <w:t>附件</w:t>
      </w:r>
      <w:r>
        <w:rPr>
          <w:rFonts w:hint="eastAsia" w:ascii="Times New Roman" w:hAnsi="Times New Roman" w:eastAsia="宋体" w:cs="Times New Roman"/>
          <w:bCs/>
          <w:snapToGrid w:val="0"/>
          <w:color w:val="auto"/>
          <w:kern w:val="0"/>
          <w:sz w:val="24"/>
          <w:szCs w:val="24"/>
        </w:rPr>
        <w:t>3营业执照</w:t>
      </w:r>
    </w:p>
    <w:p>
      <w:pPr>
        <w:rPr>
          <w:rFonts w:ascii="Times New Roman" w:hAnsi="Times New Roman" w:eastAsia="宋体" w:cs="Times New Roman"/>
          <w:bCs/>
          <w:snapToGrid w:val="0"/>
          <w:color w:val="auto"/>
          <w:kern w:val="0"/>
          <w:sz w:val="24"/>
          <w:szCs w:val="24"/>
        </w:rPr>
      </w:pPr>
      <w:r>
        <w:rPr>
          <w:rFonts w:ascii="Times New Roman" w:hAnsi="Times New Roman" w:eastAsia="宋体" w:cs="Times New Roman"/>
          <w:bCs/>
          <w:snapToGrid w:val="0"/>
          <w:color w:val="auto"/>
          <w:kern w:val="0"/>
          <w:sz w:val="24"/>
          <w:szCs w:val="24"/>
        </w:rPr>
        <w:t>附件4土地租赁协议</w:t>
      </w:r>
    </w:p>
    <w:p>
      <w:pPr>
        <w:rPr>
          <w:rFonts w:hint="eastAsia" w:ascii="Times New Roman" w:hAnsi="Times New Roman" w:eastAsia="宋体"/>
          <w:color w:val="auto"/>
          <w:lang w:eastAsia="zh-C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olor w:val="auto"/>
          <w:lang w:eastAsia="zh-CN"/>
        </w:rPr>
        <w:drawing>
          <wp:inline distT="0" distB="0" distL="114300" distR="114300">
            <wp:extent cx="6139815" cy="8446135"/>
            <wp:effectExtent l="0" t="0" r="13335" b="12065"/>
            <wp:docPr id="24" name="图片 24" descr="微信图片_20210524170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105241709462"/>
                    <pic:cNvPicPr>
                      <a:picLocks noChangeAspect="1"/>
                    </pic:cNvPicPr>
                  </pic:nvPicPr>
                  <pic:blipFill>
                    <a:blip r:embed="rId44"/>
                    <a:stretch>
                      <a:fillRect/>
                    </a:stretch>
                  </pic:blipFill>
                  <pic:spPr>
                    <a:xfrm>
                      <a:off x="0" y="0"/>
                      <a:ext cx="6139815" cy="8446135"/>
                    </a:xfrm>
                    <a:prstGeom prst="rect">
                      <a:avLst/>
                    </a:prstGeom>
                  </pic:spPr>
                </pic:pic>
              </a:graphicData>
            </a:graphic>
          </wp:inline>
        </w:drawing>
      </w:r>
    </w:p>
    <w:p>
      <w:pPr>
        <w:rPr>
          <w:rFonts w:ascii="Times New Roman" w:hAnsi="Times New Roman" w:eastAsia="宋体" w:cs="Times New Roman"/>
          <w:color w:val="auto"/>
        </w:rPr>
      </w:pPr>
    </w:p>
    <w:p>
      <w:pP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6045200" cy="8315960"/>
            <wp:effectExtent l="0" t="0" r="12700" b="8890"/>
            <wp:docPr id="25" name="图片 25" descr="微信图片_20210524170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105241709463"/>
                    <pic:cNvPicPr>
                      <a:picLocks noChangeAspect="1"/>
                    </pic:cNvPicPr>
                  </pic:nvPicPr>
                  <pic:blipFill>
                    <a:blip r:embed="rId45">
                      <a:grayscl/>
                    </a:blip>
                    <a:stretch>
                      <a:fillRect/>
                    </a:stretch>
                  </pic:blipFill>
                  <pic:spPr>
                    <a:xfrm>
                      <a:off x="0" y="0"/>
                      <a:ext cx="6045200" cy="8315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6151245" cy="8462010"/>
            <wp:effectExtent l="0" t="0" r="1905" b="15240"/>
            <wp:docPr id="26" name="图片 26" descr="微信图片_20210524170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105241709465"/>
                    <pic:cNvPicPr>
                      <a:picLocks noChangeAspect="1"/>
                    </pic:cNvPicPr>
                  </pic:nvPicPr>
                  <pic:blipFill>
                    <a:blip r:embed="rId46"/>
                    <a:stretch>
                      <a:fillRect/>
                    </a:stretch>
                  </pic:blipFill>
                  <pic:spPr>
                    <a:xfrm>
                      <a:off x="0" y="0"/>
                      <a:ext cx="6151245" cy="8462010"/>
                    </a:xfrm>
                    <a:prstGeom prst="rect">
                      <a:avLst/>
                    </a:prstGeom>
                  </pic:spPr>
                </pic:pic>
              </a:graphicData>
            </a:graphic>
          </wp:inline>
        </w:drawing>
      </w:r>
    </w:p>
    <w:p>
      <w:pP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br w:type="page"/>
      </w:r>
    </w:p>
    <w:p>
      <w:pPr>
        <w:rPr>
          <w:rFonts w:hint="eastAsia" w:ascii="Times New Roman" w:hAnsi="Times New Roman" w:eastAsia="宋体" w:cs="Times New Roman"/>
          <w:bCs/>
          <w:snapToGrid w:val="0"/>
          <w:color w:val="auto"/>
          <w:kern w:val="0"/>
          <w:sz w:val="24"/>
          <w:szCs w:val="24"/>
          <w:lang w:val="en-US" w:eastAsia="zh-CN"/>
        </w:rPr>
      </w:pPr>
      <w:r>
        <w:rPr>
          <w:rFonts w:hint="default" w:ascii="Times New Roman" w:hAnsi="Times New Roman" w:eastAsia="宋体"/>
          <w:lang w:val="en-US" w:eastAsia="zh-CN"/>
        </w:rPr>
        <w:drawing>
          <wp:anchor distT="0" distB="0" distL="114300" distR="114300" simplePos="0" relativeHeight="251683840" behindDoc="1" locked="0" layoutInCell="1" allowOverlap="1">
            <wp:simplePos x="0" y="0"/>
            <wp:positionH relativeFrom="column">
              <wp:posOffset>-762000</wp:posOffset>
            </wp:positionH>
            <wp:positionV relativeFrom="paragraph">
              <wp:posOffset>-765810</wp:posOffset>
            </wp:positionV>
            <wp:extent cx="7473315" cy="10570845"/>
            <wp:effectExtent l="0" t="0" r="13335" b="1905"/>
            <wp:wrapNone/>
            <wp:docPr id="10" name="图片 10" descr="1186-柳林县鑫创设备再造科技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186-柳林县鑫创设备再造科技有限公司_00"/>
                    <pic:cNvPicPr>
                      <a:picLocks noChangeAspect="1"/>
                    </pic:cNvPicPr>
                  </pic:nvPicPr>
                  <pic:blipFill>
                    <a:blip r:embed="rId47">
                      <a:grayscl/>
                    </a:blip>
                    <a:stretch>
                      <a:fillRect/>
                    </a:stretch>
                  </pic:blipFill>
                  <pic:spPr>
                    <a:xfrm>
                      <a:off x="0" y="0"/>
                      <a:ext cx="7473315" cy="10570845"/>
                    </a:xfrm>
                    <a:prstGeom prst="rect">
                      <a:avLst/>
                    </a:prstGeom>
                  </pic:spPr>
                </pic:pic>
              </a:graphicData>
            </a:graphic>
          </wp:anchor>
        </w:drawing>
      </w:r>
      <w:r>
        <w:rPr>
          <w:rFonts w:hint="eastAsia" w:ascii="Times New Roman" w:hAnsi="Times New Roman" w:eastAsia="宋体" w:cs="Times New Roman"/>
          <w:bCs/>
          <w:snapToGrid w:val="0"/>
          <w:color w:val="auto"/>
          <w:kern w:val="0"/>
          <w:sz w:val="24"/>
          <w:szCs w:val="24"/>
          <w:lang w:val="en-US" w:eastAsia="zh-CN"/>
        </w:rPr>
        <w:t>附件5环境质量现状监测报告</w:t>
      </w:r>
    </w:p>
    <w:p>
      <w:pPr>
        <w:rPr>
          <w:rFonts w:hint="default" w:ascii="Times New Roman" w:hAnsi="Times New Roman" w:eastAsia="宋体"/>
          <w:lang w:val="en-US" w:eastAsia="zh-CN"/>
        </w:rPr>
      </w:pPr>
      <w:r>
        <w:rPr>
          <w:rFonts w:hint="default" w:ascii="Times New Roman" w:hAnsi="Times New Roman" w:eastAsia="宋体"/>
          <w:lang w:val="en-US" w:eastAsia="zh-CN"/>
        </w:rPr>
        <w:br w:type="page"/>
      </w:r>
      <w:r>
        <w:rPr>
          <w:rFonts w:hint="default" w:ascii="Times New Roman" w:hAnsi="Times New Roman" w:eastAsia="宋体"/>
          <w:lang w:val="en-US" w:eastAsia="zh-CN"/>
        </w:rPr>
        <w:br w:type="page"/>
      </w:r>
      <w:r>
        <w:rPr>
          <w:rFonts w:hint="default" w:ascii="Times New Roman" w:hAnsi="Times New Roman" w:eastAsia="宋体"/>
          <w:lang w:val="en-US" w:eastAsia="zh-CN"/>
        </w:rPr>
        <w:drawing>
          <wp:anchor distT="0" distB="0" distL="114300" distR="114300" simplePos="0" relativeHeight="251683840" behindDoc="0" locked="0" layoutInCell="1" allowOverlap="1">
            <wp:simplePos x="0" y="0"/>
            <wp:positionH relativeFrom="column">
              <wp:posOffset>-904875</wp:posOffset>
            </wp:positionH>
            <wp:positionV relativeFrom="paragraph">
              <wp:posOffset>-773430</wp:posOffset>
            </wp:positionV>
            <wp:extent cx="7139940" cy="10099675"/>
            <wp:effectExtent l="0" t="0" r="3810" b="15875"/>
            <wp:wrapNone/>
            <wp:docPr id="13" name="图片 13" descr="1186-柳林县鑫创设备再造科技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86-柳林县鑫创设备再造科技有限公司_01"/>
                    <pic:cNvPicPr>
                      <a:picLocks noChangeAspect="1"/>
                    </pic:cNvPicPr>
                  </pic:nvPicPr>
                  <pic:blipFill>
                    <a:blip r:embed="rId48"/>
                    <a:stretch>
                      <a:fillRect/>
                    </a:stretch>
                  </pic:blipFill>
                  <pic:spPr>
                    <a:xfrm>
                      <a:off x="0" y="0"/>
                      <a:ext cx="7139940" cy="10099675"/>
                    </a:xfrm>
                    <a:prstGeom prst="rect">
                      <a:avLst/>
                    </a:prstGeom>
                  </pic:spPr>
                </pic:pic>
              </a:graphicData>
            </a:graphic>
          </wp:anchor>
        </w:drawing>
      </w:r>
    </w:p>
    <w:p>
      <w:pPr>
        <w:rPr>
          <w:rFonts w:hint="default"/>
          <w:lang w:val="en-US" w:eastAsia="zh-CN"/>
        </w:rPr>
      </w:pPr>
      <w:r>
        <w:rPr>
          <w:rFonts w:hint="default"/>
          <w:lang w:val="en-US" w:eastAsia="zh-CN"/>
        </w:rPr>
        <w:br w:type="page"/>
      </w:r>
      <w:r>
        <w:rPr>
          <w:rFonts w:hint="default"/>
          <w:lang w:val="en-US" w:eastAsia="zh-CN"/>
        </w:rPr>
        <w:drawing>
          <wp:anchor distT="0" distB="0" distL="114300" distR="114300" simplePos="0" relativeHeight="251684864" behindDoc="0" locked="0" layoutInCell="1" allowOverlap="1">
            <wp:simplePos x="0" y="0"/>
            <wp:positionH relativeFrom="column">
              <wp:posOffset>-904875</wp:posOffset>
            </wp:positionH>
            <wp:positionV relativeFrom="paragraph">
              <wp:posOffset>-725805</wp:posOffset>
            </wp:positionV>
            <wp:extent cx="7615555" cy="10772140"/>
            <wp:effectExtent l="0" t="0" r="4445" b="10160"/>
            <wp:wrapNone/>
            <wp:docPr id="14" name="图片 14" descr="1186-柳林县鑫创设备再造科技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86-柳林县鑫创设备再造科技有限公司_02"/>
                    <pic:cNvPicPr>
                      <a:picLocks noChangeAspect="1"/>
                    </pic:cNvPicPr>
                  </pic:nvPicPr>
                  <pic:blipFill>
                    <a:blip r:embed="rId49"/>
                    <a:stretch>
                      <a:fillRect/>
                    </a:stretch>
                  </pic:blipFill>
                  <pic:spPr>
                    <a:xfrm>
                      <a:off x="0" y="0"/>
                      <a:ext cx="7615555" cy="10772140"/>
                    </a:xfrm>
                    <a:prstGeom prst="rect">
                      <a:avLst/>
                    </a:prstGeom>
                  </pic:spPr>
                </pic:pic>
              </a:graphicData>
            </a:graphic>
          </wp:anchor>
        </w:drawing>
      </w:r>
    </w:p>
    <w:p>
      <w:pPr>
        <w:rPr>
          <w:rFonts w:hint="default"/>
          <w:lang w:val="en-US" w:eastAsia="zh-CN"/>
        </w:rPr>
      </w:pPr>
      <w:r>
        <w:rPr>
          <w:rFonts w:hint="default"/>
          <w:lang w:val="en-US" w:eastAsia="zh-CN"/>
        </w:rPr>
        <w:drawing>
          <wp:anchor distT="0" distB="0" distL="114300" distR="114300" simplePos="0" relativeHeight="251685888" behindDoc="0" locked="0" layoutInCell="1" allowOverlap="1">
            <wp:simplePos x="0" y="0"/>
            <wp:positionH relativeFrom="column">
              <wp:posOffset>-619125</wp:posOffset>
            </wp:positionH>
            <wp:positionV relativeFrom="paragraph">
              <wp:posOffset>-773430</wp:posOffset>
            </wp:positionV>
            <wp:extent cx="7282180" cy="10300335"/>
            <wp:effectExtent l="0" t="0" r="13970" b="5715"/>
            <wp:wrapNone/>
            <wp:docPr id="23" name="图片 23" descr="1186-柳林县鑫创设备再造科技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186-柳林县鑫创设备再造科技有限公司_03"/>
                    <pic:cNvPicPr>
                      <a:picLocks noChangeAspect="1"/>
                    </pic:cNvPicPr>
                  </pic:nvPicPr>
                  <pic:blipFill>
                    <a:blip r:embed="rId50"/>
                    <a:stretch>
                      <a:fillRect/>
                    </a:stretch>
                  </pic:blipFill>
                  <pic:spPr>
                    <a:xfrm>
                      <a:off x="0" y="0"/>
                      <a:ext cx="7282180" cy="10300335"/>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br w:type="page"/>
      </w:r>
      <w:r>
        <w:rPr>
          <w:rFonts w:hint="default"/>
          <w:lang w:val="en-US" w:eastAsia="zh-CN"/>
        </w:rPr>
        <w:drawing>
          <wp:anchor distT="0" distB="0" distL="114300" distR="114300" simplePos="0" relativeHeight="251686912" behindDoc="0" locked="0" layoutInCell="1" allowOverlap="1">
            <wp:simplePos x="0" y="0"/>
            <wp:positionH relativeFrom="column">
              <wp:posOffset>-952500</wp:posOffset>
            </wp:positionH>
            <wp:positionV relativeFrom="paragraph">
              <wp:posOffset>-868680</wp:posOffset>
            </wp:positionV>
            <wp:extent cx="7663815" cy="10840085"/>
            <wp:effectExtent l="0" t="0" r="13335" b="18415"/>
            <wp:wrapNone/>
            <wp:docPr id="27" name="图片 27" descr="1186-柳林县鑫创设备再造科技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186-柳林县鑫创设备再造科技有限公司_04"/>
                    <pic:cNvPicPr>
                      <a:picLocks noChangeAspect="1"/>
                    </pic:cNvPicPr>
                  </pic:nvPicPr>
                  <pic:blipFill>
                    <a:blip r:embed="rId51"/>
                    <a:stretch>
                      <a:fillRect/>
                    </a:stretch>
                  </pic:blipFill>
                  <pic:spPr>
                    <a:xfrm>
                      <a:off x="0" y="0"/>
                      <a:ext cx="7663815" cy="10840085"/>
                    </a:xfrm>
                    <a:prstGeom prst="rect">
                      <a:avLst/>
                    </a:prstGeom>
                  </pic:spPr>
                </pic:pic>
              </a:graphicData>
            </a:graphic>
          </wp:anchor>
        </w:drawing>
      </w:r>
    </w:p>
    <w:p>
      <w:pPr>
        <w:rPr>
          <w:rFonts w:hint="default"/>
          <w:lang w:val="en-US" w:eastAsia="zh-CN"/>
        </w:rPr>
      </w:pPr>
      <w:r>
        <w:rPr>
          <w:rFonts w:hint="default"/>
          <w:lang w:val="en-US" w:eastAsia="zh-CN"/>
        </w:rPr>
        <w:drawing>
          <wp:anchor distT="0" distB="0" distL="114300" distR="114300" simplePos="0" relativeHeight="251687936" behindDoc="0" locked="0" layoutInCell="1" allowOverlap="1">
            <wp:simplePos x="0" y="0"/>
            <wp:positionH relativeFrom="column">
              <wp:posOffset>-857250</wp:posOffset>
            </wp:positionH>
            <wp:positionV relativeFrom="paragraph">
              <wp:posOffset>-821055</wp:posOffset>
            </wp:positionV>
            <wp:extent cx="7663815" cy="10840085"/>
            <wp:effectExtent l="0" t="0" r="13335" b="18415"/>
            <wp:wrapNone/>
            <wp:docPr id="31" name="图片 31" descr="1186-柳林县鑫创设备再造科技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186-柳林县鑫创设备再造科技有限公司_05"/>
                    <pic:cNvPicPr>
                      <a:picLocks noChangeAspect="1"/>
                    </pic:cNvPicPr>
                  </pic:nvPicPr>
                  <pic:blipFill>
                    <a:blip r:embed="rId52"/>
                    <a:stretch>
                      <a:fillRect/>
                    </a:stretch>
                  </pic:blipFill>
                  <pic:spPr>
                    <a:xfrm>
                      <a:off x="0" y="0"/>
                      <a:ext cx="7663815" cy="10840085"/>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88960" behindDoc="0" locked="0" layoutInCell="1" allowOverlap="1">
            <wp:simplePos x="0" y="0"/>
            <wp:positionH relativeFrom="column">
              <wp:posOffset>-904875</wp:posOffset>
            </wp:positionH>
            <wp:positionV relativeFrom="paragraph">
              <wp:posOffset>-916305</wp:posOffset>
            </wp:positionV>
            <wp:extent cx="7806055" cy="11041380"/>
            <wp:effectExtent l="0" t="0" r="4445" b="7620"/>
            <wp:wrapNone/>
            <wp:docPr id="34" name="图片 34" descr="1186-柳林县鑫创设备再造科技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186-柳林县鑫创设备再造科技有限公司_06"/>
                    <pic:cNvPicPr>
                      <a:picLocks noChangeAspect="1"/>
                    </pic:cNvPicPr>
                  </pic:nvPicPr>
                  <pic:blipFill>
                    <a:blip r:embed="rId53"/>
                    <a:stretch>
                      <a:fillRect/>
                    </a:stretch>
                  </pic:blipFill>
                  <pic:spPr>
                    <a:xfrm>
                      <a:off x="0" y="0"/>
                      <a:ext cx="7806055" cy="11041380"/>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89984" behindDoc="0" locked="0" layoutInCell="1" allowOverlap="1">
            <wp:simplePos x="0" y="0"/>
            <wp:positionH relativeFrom="column">
              <wp:posOffset>-952500</wp:posOffset>
            </wp:positionH>
            <wp:positionV relativeFrom="paragraph">
              <wp:posOffset>-963930</wp:posOffset>
            </wp:positionV>
            <wp:extent cx="7378065" cy="10436225"/>
            <wp:effectExtent l="0" t="0" r="13335" b="3175"/>
            <wp:wrapNone/>
            <wp:docPr id="35" name="图片 35" descr="1186-柳林县鑫创设备再造科技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186-柳林县鑫创设备再造科技有限公司_07"/>
                    <pic:cNvPicPr>
                      <a:picLocks noChangeAspect="1"/>
                    </pic:cNvPicPr>
                  </pic:nvPicPr>
                  <pic:blipFill>
                    <a:blip r:embed="rId54"/>
                    <a:stretch>
                      <a:fillRect/>
                    </a:stretch>
                  </pic:blipFill>
                  <pic:spPr>
                    <a:xfrm>
                      <a:off x="0" y="0"/>
                      <a:ext cx="7378065" cy="10436225"/>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91008" behindDoc="0" locked="0" layoutInCell="1" allowOverlap="1">
            <wp:simplePos x="0" y="0"/>
            <wp:positionH relativeFrom="column">
              <wp:posOffset>-714375</wp:posOffset>
            </wp:positionH>
            <wp:positionV relativeFrom="paragraph">
              <wp:posOffset>-773430</wp:posOffset>
            </wp:positionV>
            <wp:extent cx="7138670" cy="10097770"/>
            <wp:effectExtent l="0" t="0" r="5080" b="17780"/>
            <wp:wrapNone/>
            <wp:docPr id="36" name="图片 36" descr="1186-柳林县鑫创设备再造科技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186-柳林县鑫创设备再造科技有限公司_08"/>
                    <pic:cNvPicPr>
                      <a:picLocks noChangeAspect="1"/>
                    </pic:cNvPicPr>
                  </pic:nvPicPr>
                  <pic:blipFill>
                    <a:blip r:embed="rId55"/>
                    <a:stretch>
                      <a:fillRect/>
                    </a:stretch>
                  </pic:blipFill>
                  <pic:spPr>
                    <a:xfrm>
                      <a:off x="0" y="0"/>
                      <a:ext cx="7138670" cy="10097770"/>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92032" behindDoc="0" locked="0" layoutInCell="1" allowOverlap="1">
            <wp:simplePos x="0" y="0"/>
            <wp:positionH relativeFrom="column">
              <wp:posOffset>-952500</wp:posOffset>
            </wp:positionH>
            <wp:positionV relativeFrom="paragraph">
              <wp:posOffset>-868680</wp:posOffset>
            </wp:positionV>
            <wp:extent cx="7520305" cy="10637520"/>
            <wp:effectExtent l="0" t="0" r="4445" b="11430"/>
            <wp:wrapNone/>
            <wp:docPr id="37" name="图片 37" descr="1186-柳林县鑫创设备再造科技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186-柳林县鑫创设备再造科技有限公司_09"/>
                    <pic:cNvPicPr>
                      <a:picLocks noChangeAspect="1"/>
                    </pic:cNvPicPr>
                  </pic:nvPicPr>
                  <pic:blipFill>
                    <a:blip r:embed="rId56"/>
                    <a:stretch>
                      <a:fillRect/>
                    </a:stretch>
                  </pic:blipFill>
                  <pic:spPr>
                    <a:xfrm>
                      <a:off x="0" y="0"/>
                      <a:ext cx="7520305" cy="10637520"/>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93056" behindDoc="0" locked="0" layoutInCell="1" allowOverlap="1">
            <wp:simplePos x="0" y="0"/>
            <wp:positionH relativeFrom="column">
              <wp:posOffset>-714375</wp:posOffset>
            </wp:positionH>
            <wp:positionV relativeFrom="paragraph">
              <wp:posOffset>-821055</wp:posOffset>
            </wp:positionV>
            <wp:extent cx="7192010" cy="10173335"/>
            <wp:effectExtent l="0" t="0" r="8890" b="18415"/>
            <wp:wrapNone/>
            <wp:docPr id="38" name="图片 38" descr="1186-柳林县鑫创设备再造科技有限公司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186-柳林县鑫创设备再造科技有限公司_10"/>
                    <pic:cNvPicPr>
                      <a:picLocks noChangeAspect="1"/>
                    </pic:cNvPicPr>
                  </pic:nvPicPr>
                  <pic:blipFill>
                    <a:blip r:embed="rId57"/>
                    <a:stretch>
                      <a:fillRect/>
                    </a:stretch>
                  </pic:blipFill>
                  <pic:spPr>
                    <a:xfrm>
                      <a:off x="0" y="0"/>
                      <a:ext cx="7192010" cy="10173335"/>
                    </a:xfrm>
                    <a:prstGeom prst="rect">
                      <a:avLst/>
                    </a:prstGeom>
                  </pic:spPr>
                </pic:pic>
              </a:graphicData>
            </a:graphic>
          </wp:anchor>
        </w:drawing>
      </w:r>
      <w:r>
        <w:rPr>
          <w:rFonts w:hint="default"/>
          <w:lang w:val="en-US" w:eastAsia="zh-CN"/>
        </w:rPr>
        <w:br w:type="page"/>
      </w:r>
      <w:r>
        <w:rPr>
          <w:rFonts w:hint="default"/>
          <w:lang w:val="en-US" w:eastAsia="zh-CN"/>
        </w:rPr>
        <w:drawing>
          <wp:anchor distT="0" distB="0" distL="114300" distR="114300" simplePos="0" relativeHeight="251694080" behindDoc="0" locked="0" layoutInCell="1" allowOverlap="1">
            <wp:simplePos x="0" y="0"/>
            <wp:positionH relativeFrom="column">
              <wp:posOffset>-714375</wp:posOffset>
            </wp:positionH>
            <wp:positionV relativeFrom="paragraph">
              <wp:posOffset>-773430</wp:posOffset>
            </wp:positionV>
            <wp:extent cx="7425690" cy="10503535"/>
            <wp:effectExtent l="0" t="0" r="3810" b="12065"/>
            <wp:wrapNone/>
            <wp:docPr id="39" name="图片 39" descr="1186-柳林县鑫创设备再造科技有限公司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186-柳林县鑫创设备再造科技有限公司_11"/>
                    <pic:cNvPicPr>
                      <a:picLocks noChangeAspect="1"/>
                    </pic:cNvPicPr>
                  </pic:nvPicPr>
                  <pic:blipFill>
                    <a:blip r:embed="rId58"/>
                    <a:stretch>
                      <a:fillRect/>
                    </a:stretch>
                  </pic:blipFill>
                  <pic:spPr>
                    <a:xfrm>
                      <a:off x="0" y="0"/>
                      <a:ext cx="7425690" cy="10503535"/>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br w:type="page"/>
      </w:r>
      <w:r>
        <w:rPr>
          <w:rFonts w:hint="default"/>
          <w:lang w:val="en-US" w:eastAsia="zh-CN"/>
        </w:rPr>
        <w:drawing>
          <wp:anchor distT="0" distB="0" distL="114300" distR="114300" simplePos="0" relativeHeight="251695104" behindDoc="0" locked="0" layoutInCell="1" allowOverlap="1">
            <wp:simplePos x="0" y="0"/>
            <wp:positionH relativeFrom="column">
              <wp:posOffset>-857250</wp:posOffset>
            </wp:positionH>
            <wp:positionV relativeFrom="paragraph">
              <wp:posOffset>-1011555</wp:posOffset>
            </wp:positionV>
            <wp:extent cx="7615555" cy="10772140"/>
            <wp:effectExtent l="0" t="0" r="4445" b="10160"/>
            <wp:wrapNone/>
            <wp:docPr id="40" name="图片 40" descr="1186-柳林县鑫创设备再造科技有限公司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186-柳林县鑫创设备再造科技有限公司_12"/>
                    <pic:cNvPicPr>
                      <a:picLocks noChangeAspect="1"/>
                    </pic:cNvPicPr>
                  </pic:nvPicPr>
                  <pic:blipFill>
                    <a:blip r:embed="rId59"/>
                    <a:stretch>
                      <a:fillRect/>
                    </a:stretch>
                  </pic:blipFill>
                  <pic:spPr>
                    <a:xfrm>
                      <a:off x="0" y="0"/>
                      <a:ext cx="7615555" cy="10772140"/>
                    </a:xfrm>
                    <a:prstGeom prst="rect">
                      <a:avLst/>
                    </a:prstGeom>
                  </pic:spPr>
                </pic:pic>
              </a:graphicData>
            </a:graphic>
          </wp:anchor>
        </w:drawing>
      </w:r>
    </w:p>
    <w:p>
      <w:pPr>
        <w:rPr>
          <w:rFonts w:hint="default"/>
          <w:lang w:val="en-US" w:eastAsia="zh-CN"/>
        </w:rPr>
      </w:pPr>
      <w:r>
        <w:rPr>
          <w:rFonts w:hint="default"/>
          <w:lang w:val="en-US" w:eastAsia="zh-CN"/>
        </w:rPr>
        <w:br w:type="page"/>
      </w:r>
      <w:r>
        <w:rPr>
          <w:rFonts w:hint="default"/>
          <w:lang w:val="en-US" w:eastAsia="zh-CN"/>
        </w:rPr>
        <w:drawing>
          <wp:anchor distT="0" distB="0" distL="114300" distR="114300" simplePos="0" relativeHeight="251696128" behindDoc="0" locked="0" layoutInCell="1" allowOverlap="1">
            <wp:simplePos x="0" y="0"/>
            <wp:positionH relativeFrom="column">
              <wp:posOffset>-904875</wp:posOffset>
            </wp:positionH>
            <wp:positionV relativeFrom="paragraph">
              <wp:posOffset>-1011555</wp:posOffset>
            </wp:positionV>
            <wp:extent cx="7543165" cy="10670540"/>
            <wp:effectExtent l="0" t="0" r="635" b="16510"/>
            <wp:wrapNone/>
            <wp:docPr id="41" name="图片 41" descr="1186-柳林县鑫创设备再造科技有限公司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186-柳林县鑫创设备再造科技有限公司_13"/>
                    <pic:cNvPicPr>
                      <a:picLocks noChangeAspect="1"/>
                    </pic:cNvPicPr>
                  </pic:nvPicPr>
                  <pic:blipFill>
                    <a:blip r:embed="rId60"/>
                    <a:stretch>
                      <a:fillRect/>
                    </a:stretch>
                  </pic:blipFill>
                  <pic:spPr>
                    <a:xfrm>
                      <a:off x="0" y="0"/>
                      <a:ext cx="7543165" cy="10670540"/>
                    </a:xfrm>
                    <a:prstGeom prst="rect">
                      <a:avLst/>
                    </a:prstGeom>
                  </pic:spPr>
                </pic:pic>
              </a:graphicData>
            </a:graphic>
          </wp:anchor>
        </w:drawing>
      </w:r>
    </w:p>
    <w:p>
      <w:pPr>
        <w:rPr>
          <w:rFonts w:hint="default"/>
          <w:lang w:val="en-US" w:eastAsia="zh-CN"/>
        </w:rPr>
      </w:pPr>
      <w:r>
        <w:rPr>
          <w:rFonts w:hint="default"/>
          <w:lang w:val="en-US" w:eastAsia="zh-CN"/>
        </w:rPr>
        <w:drawing>
          <wp:anchor distT="0" distB="0" distL="114300" distR="114300" simplePos="0" relativeHeight="251697152" behindDoc="0" locked="0" layoutInCell="1" allowOverlap="1">
            <wp:simplePos x="0" y="0"/>
            <wp:positionH relativeFrom="column">
              <wp:posOffset>-762000</wp:posOffset>
            </wp:positionH>
            <wp:positionV relativeFrom="paragraph">
              <wp:posOffset>-773430</wp:posOffset>
            </wp:positionV>
            <wp:extent cx="7473315" cy="10570845"/>
            <wp:effectExtent l="0" t="0" r="13335" b="1905"/>
            <wp:wrapNone/>
            <wp:docPr id="46" name="图片 46" descr="1186-柳林县鑫创设备再造科技有限公司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186-柳林县鑫创设备再造科技有限公司_14"/>
                    <pic:cNvPicPr>
                      <a:picLocks noChangeAspect="1"/>
                    </pic:cNvPicPr>
                  </pic:nvPicPr>
                  <pic:blipFill>
                    <a:blip r:embed="rId61"/>
                    <a:stretch>
                      <a:fillRect/>
                    </a:stretch>
                  </pic:blipFill>
                  <pic:spPr>
                    <a:xfrm>
                      <a:off x="0" y="0"/>
                      <a:ext cx="7473315" cy="10570845"/>
                    </a:xfrm>
                    <a:prstGeom prst="rect">
                      <a:avLst/>
                    </a:prstGeom>
                  </pic:spPr>
                </pic:pic>
              </a:graphicData>
            </a:graphic>
          </wp:anchor>
        </w:drawing>
      </w:r>
      <w:r>
        <w:rPr>
          <w:rFonts w:hint="default"/>
          <w:lang w:val="en-US" w:eastAsia="zh-CN"/>
        </w:rPr>
        <w:br w:type="page"/>
      </w:r>
    </w:p>
    <w:p>
      <w:pPr>
        <w:rPr>
          <w:rFonts w:hint="default"/>
          <w:lang w:val="en-US" w:eastAsia="zh-CN"/>
        </w:rPr>
      </w:pPr>
    </w:p>
    <w:p>
      <w:pPr>
        <w:rPr>
          <w:rFonts w:hint="default"/>
          <w:lang w:val="en-US" w:eastAsia="zh-CN"/>
        </w:rPr>
      </w:pPr>
    </w:p>
    <w:p>
      <w:pPr>
        <w:rPr>
          <w:rFonts w:hint="default" w:ascii="Times New Roman" w:hAnsi="Times New Roman" w:eastAsia="宋体"/>
          <w:lang w:val="en-US" w:eastAsia="zh-CN"/>
        </w:rPr>
      </w:pPr>
      <w:r>
        <w:rPr>
          <w:rFonts w:hint="default" w:ascii="Times New Roman" w:hAnsi="Times New Roman" w:eastAsia="宋体"/>
          <w:lang w:val="en-US" w:eastAsia="zh-CN"/>
        </w:rPr>
        <w:drawing>
          <wp:anchor distT="0" distB="0" distL="114300" distR="114300" simplePos="0" relativeHeight="251678720" behindDoc="1" locked="0" layoutInCell="1" allowOverlap="1">
            <wp:simplePos x="0" y="0"/>
            <wp:positionH relativeFrom="column">
              <wp:posOffset>-895350</wp:posOffset>
            </wp:positionH>
            <wp:positionV relativeFrom="paragraph">
              <wp:posOffset>-899160</wp:posOffset>
            </wp:positionV>
            <wp:extent cx="7452360" cy="10546080"/>
            <wp:effectExtent l="0" t="0" r="15240" b="7620"/>
            <wp:wrapNone/>
            <wp:docPr id="49" name="图片 49" descr="扫描全能王 2021-09-03 10.19(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扫描全能王 2021-09-03 10.19(1)_03"/>
                    <pic:cNvPicPr>
                      <a:picLocks noChangeAspect="1"/>
                    </pic:cNvPicPr>
                  </pic:nvPicPr>
                  <pic:blipFill>
                    <a:blip r:embed="rId62">
                      <a:grayscl/>
                    </a:blip>
                    <a:stretch>
                      <a:fillRect/>
                    </a:stretch>
                  </pic:blipFill>
                  <pic:spPr>
                    <a:xfrm>
                      <a:off x="0" y="0"/>
                      <a:ext cx="7452360" cy="10546080"/>
                    </a:xfrm>
                    <a:prstGeom prst="rect">
                      <a:avLst/>
                    </a:prstGeom>
                  </pic:spPr>
                </pic:pic>
              </a:graphicData>
            </a:graphic>
          </wp:anchor>
        </w:drawing>
      </w:r>
      <w:r>
        <w:rPr>
          <w:rFonts w:hint="eastAsia" w:ascii="Times New Roman" w:hAnsi="Times New Roman" w:eastAsia="宋体"/>
          <w:lang w:val="en-US" w:eastAsia="zh-CN"/>
        </w:rPr>
        <w:t>附件6 总量文件</w:t>
      </w:r>
    </w:p>
    <w:p>
      <w:pPr>
        <w:rPr>
          <w:rFonts w:hint="default" w:ascii="Times New Roman" w:hAnsi="Times New Roman" w:eastAsia="宋体"/>
          <w:lang w:val="en-US" w:eastAsia="zh-CN"/>
        </w:rPr>
      </w:pPr>
    </w:p>
    <w:p>
      <w:pPr>
        <w:rPr>
          <w:rFonts w:hint="default" w:ascii="Times New Roman" w:hAnsi="Times New Roman" w:eastAsia="宋体"/>
          <w:lang w:val="en-US" w:eastAsia="zh-CN"/>
        </w:rPr>
      </w:pPr>
      <w:r>
        <w:rPr>
          <w:rFonts w:hint="default" w:ascii="Times New Roman" w:hAnsi="Times New Roman" w:eastAsia="宋体"/>
          <w:lang w:val="en-US" w:eastAsia="zh-CN"/>
        </w:rPr>
        <w:br w:type="page"/>
      </w:r>
    </w:p>
    <w:p>
      <w:pPr>
        <w:rPr>
          <w:rFonts w:hint="default"/>
          <w:lang w:val="en-US" w:eastAsia="zh-CN"/>
        </w:rPr>
      </w:pPr>
      <w:r>
        <w:rPr>
          <w:rFonts w:hint="default"/>
          <w:lang w:val="en-US" w:eastAsia="zh-CN"/>
        </w:rPr>
        <w:drawing>
          <wp:anchor distT="0" distB="0" distL="114300" distR="114300" simplePos="0" relativeHeight="251678720" behindDoc="0" locked="0" layoutInCell="1" allowOverlap="1">
            <wp:simplePos x="0" y="0"/>
            <wp:positionH relativeFrom="column">
              <wp:posOffset>-2560320</wp:posOffset>
            </wp:positionH>
            <wp:positionV relativeFrom="paragraph">
              <wp:posOffset>697230</wp:posOffset>
            </wp:positionV>
            <wp:extent cx="10873105" cy="7684770"/>
            <wp:effectExtent l="0" t="0" r="11430" b="4445"/>
            <wp:wrapNone/>
            <wp:docPr id="51" name="图片 51" descr="扫描全能王 2021-09-03 10.19(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扫描全能王 2021-09-03 10.19(1)_04"/>
                    <pic:cNvPicPr>
                      <a:picLocks noChangeAspect="1"/>
                    </pic:cNvPicPr>
                  </pic:nvPicPr>
                  <pic:blipFill>
                    <a:blip r:embed="rId63">
                      <a:grayscl/>
                    </a:blip>
                    <a:stretch>
                      <a:fillRect/>
                    </a:stretch>
                  </pic:blipFill>
                  <pic:spPr>
                    <a:xfrm rot="16200000">
                      <a:off x="0" y="0"/>
                      <a:ext cx="10873105" cy="7684770"/>
                    </a:xfrm>
                    <a:prstGeom prst="rect">
                      <a:avLst/>
                    </a:prstGeom>
                  </pic:spPr>
                </pic:pic>
              </a:graphicData>
            </a:graphic>
          </wp:anchor>
        </w:drawing>
      </w:r>
      <w:r>
        <w:rPr>
          <w:rFonts w:hint="default"/>
          <w:lang w:val="en-US" w:eastAsia="zh-CN"/>
        </w:rPr>
        <w:br w:type="page"/>
      </w:r>
    </w:p>
    <w:p>
      <w:pPr>
        <w:rPr>
          <w:rFonts w:hint="default"/>
          <w:lang w:val="en-US" w:eastAsia="zh-CN"/>
        </w:rPr>
      </w:pPr>
      <w:r>
        <w:rPr>
          <w:rFonts w:hint="default"/>
          <w:lang w:val="en-US" w:eastAsia="zh-CN"/>
        </w:rPr>
        <w:br w:type="page"/>
      </w:r>
      <w:r>
        <w:rPr>
          <w:rFonts w:hint="default"/>
          <w:lang w:val="en-US" w:eastAsia="zh-CN"/>
        </w:rPr>
        <w:drawing>
          <wp:anchor distT="0" distB="0" distL="114300" distR="114300" simplePos="0" relativeHeight="251679744" behindDoc="0" locked="0" layoutInCell="1" allowOverlap="1">
            <wp:simplePos x="0" y="0"/>
            <wp:positionH relativeFrom="column">
              <wp:posOffset>-2445385</wp:posOffset>
            </wp:positionH>
            <wp:positionV relativeFrom="paragraph">
              <wp:posOffset>658495</wp:posOffset>
            </wp:positionV>
            <wp:extent cx="10738485" cy="7589520"/>
            <wp:effectExtent l="0" t="0" r="11430" b="5715"/>
            <wp:wrapNone/>
            <wp:docPr id="52" name="图片 52" descr="扫描全能王 2021-09-03 10.19(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扫描全能王 2021-09-03 10.19(1)_05"/>
                    <pic:cNvPicPr>
                      <a:picLocks noChangeAspect="1"/>
                    </pic:cNvPicPr>
                  </pic:nvPicPr>
                  <pic:blipFill>
                    <a:blip r:embed="rId64">
                      <a:grayscl/>
                    </a:blip>
                    <a:stretch>
                      <a:fillRect/>
                    </a:stretch>
                  </pic:blipFill>
                  <pic:spPr>
                    <a:xfrm rot="16200000">
                      <a:off x="0" y="0"/>
                      <a:ext cx="10738485" cy="7589520"/>
                    </a:xfrm>
                    <a:prstGeom prst="rect">
                      <a:avLst/>
                    </a:prstGeom>
                  </pic:spPr>
                </pic:pic>
              </a:graphicData>
            </a:graphic>
          </wp:anchor>
        </w:drawing>
      </w:r>
    </w:p>
    <w:p>
      <w:pPr>
        <w:rPr>
          <w:rFonts w:hint="eastAsia"/>
          <w:lang w:val="en-US" w:eastAsia="zh-CN"/>
        </w:rPr>
      </w:pPr>
      <w:r>
        <w:rPr>
          <w:rFonts w:hint="default"/>
          <w:lang w:val="en-US" w:eastAsia="zh-CN"/>
        </w:rPr>
        <w:drawing>
          <wp:anchor distT="0" distB="0" distL="114300" distR="114300" simplePos="0" relativeHeight="251680768" behindDoc="1" locked="0" layoutInCell="1" allowOverlap="1">
            <wp:simplePos x="0" y="0"/>
            <wp:positionH relativeFrom="column">
              <wp:posOffset>-857250</wp:posOffset>
            </wp:positionH>
            <wp:positionV relativeFrom="paragraph">
              <wp:posOffset>-681990</wp:posOffset>
            </wp:positionV>
            <wp:extent cx="7381875" cy="10452100"/>
            <wp:effectExtent l="0" t="0" r="9525" b="6350"/>
            <wp:wrapNone/>
            <wp:docPr id="53" name="图片 53" descr="57d5e520a0381a8433f8fc5195c6e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7d5e520a0381a8433f8fc5195c6e5a"/>
                    <pic:cNvPicPr>
                      <a:picLocks noChangeAspect="1"/>
                    </pic:cNvPicPr>
                  </pic:nvPicPr>
                  <pic:blipFill>
                    <a:blip r:embed="rId65"/>
                    <a:stretch>
                      <a:fillRect/>
                    </a:stretch>
                  </pic:blipFill>
                  <pic:spPr>
                    <a:xfrm>
                      <a:off x="0" y="0"/>
                      <a:ext cx="7381875" cy="10452100"/>
                    </a:xfrm>
                    <a:prstGeom prst="rect">
                      <a:avLst/>
                    </a:prstGeom>
                  </pic:spPr>
                </pic:pic>
              </a:graphicData>
            </a:graphic>
          </wp:anchor>
        </w:drawing>
      </w:r>
      <w:r>
        <w:rPr>
          <w:rFonts w:hint="eastAsia"/>
          <w:lang w:val="en-US" w:eastAsia="zh-CN"/>
        </w:rPr>
        <w:t>附件7 专家意见</w:t>
      </w:r>
    </w:p>
    <w:p>
      <w:pPr>
        <w:rPr>
          <w:rFonts w:hint="default"/>
          <w:lang w:val="en-US" w:eastAsia="zh-CN"/>
        </w:rPr>
      </w:pPr>
      <w:r>
        <w:rPr>
          <w:rFonts w:hint="default"/>
          <w:lang w:val="en-US" w:eastAsia="zh-CN"/>
        </w:rPr>
        <w:br w:type="page"/>
      </w:r>
    </w:p>
    <w:p>
      <w:pPr>
        <w:rPr>
          <w:rFonts w:hint="default"/>
          <w:lang w:val="en-US" w:eastAsia="zh-CN"/>
        </w:rPr>
      </w:pPr>
      <w:r>
        <w:rPr>
          <w:rFonts w:hint="default"/>
          <w:lang w:val="en-US" w:eastAsia="zh-CN"/>
        </w:rPr>
        <w:drawing>
          <wp:anchor distT="0" distB="0" distL="114300" distR="114300" simplePos="0" relativeHeight="251680768" behindDoc="0" locked="0" layoutInCell="1" allowOverlap="1">
            <wp:simplePos x="0" y="0"/>
            <wp:positionH relativeFrom="column">
              <wp:posOffset>-857250</wp:posOffset>
            </wp:positionH>
            <wp:positionV relativeFrom="paragraph">
              <wp:posOffset>-918210</wp:posOffset>
            </wp:positionV>
            <wp:extent cx="7506970" cy="10629900"/>
            <wp:effectExtent l="0" t="0" r="17780" b="0"/>
            <wp:wrapNone/>
            <wp:docPr id="54" name="图片 54" descr="70f3675629ee8dd6caf1e0b66dd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70f3675629ee8dd6caf1e0b66dd5436"/>
                    <pic:cNvPicPr>
                      <a:picLocks noChangeAspect="1"/>
                    </pic:cNvPicPr>
                  </pic:nvPicPr>
                  <pic:blipFill>
                    <a:blip r:embed="rId66"/>
                    <a:stretch>
                      <a:fillRect/>
                    </a:stretch>
                  </pic:blipFill>
                  <pic:spPr>
                    <a:xfrm>
                      <a:off x="0" y="0"/>
                      <a:ext cx="7506970" cy="10629900"/>
                    </a:xfrm>
                    <a:prstGeom prst="rect">
                      <a:avLst/>
                    </a:prstGeom>
                  </pic:spPr>
                </pic:pic>
              </a:graphicData>
            </a:graphic>
          </wp:anchor>
        </w:drawing>
      </w:r>
    </w:p>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34C61E"/>
    <w:multiLevelType w:val="singleLevel"/>
    <w:tmpl w:val="BD34C61E"/>
    <w:lvl w:ilvl="0" w:tentative="0">
      <w:start w:val="7"/>
      <w:numFmt w:val="decimal"/>
      <w:suff w:val="nothing"/>
      <w:lvlText w:val="（%1）"/>
      <w:lvlJc w:val="left"/>
    </w:lvl>
  </w:abstractNum>
  <w:abstractNum w:abstractNumId="1">
    <w:nsid w:val="FD1BB79E"/>
    <w:multiLevelType w:val="singleLevel"/>
    <w:tmpl w:val="FD1BB79E"/>
    <w:lvl w:ilvl="0" w:tentative="0">
      <w:start w:val="4"/>
      <w:numFmt w:val="chineseCounting"/>
      <w:suff w:val="nothing"/>
      <w:lvlText w:val="%1、"/>
      <w:lvlJc w:val="left"/>
      <w:rPr>
        <w:rFonts w:hint="eastAsia"/>
      </w:rPr>
    </w:lvl>
  </w:abstractNum>
  <w:abstractNum w:abstractNumId="2">
    <w:nsid w:val="43906A24"/>
    <w:multiLevelType w:val="singleLevel"/>
    <w:tmpl w:val="43906A2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1874"/>
    <w:rsid w:val="0000001D"/>
    <w:rsid w:val="000050DD"/>
    <w:rsid w:val="00010B58"/>
    <w:rsid w:val="00026A0E"/>
    <w:rsid w:val="00030959"/>
    <w:rsid w:val="00040928"/>
    <w:rsid w:val="00051AA1"/>
    <w:rsid w:val="00063AA2"/>
    <w:rsid w:val="00073A32"/>
    <w:rsid w:val="00081262"/>
    <w:rsid w:val="00081874"/>
    <w:rsid w:val="000A522E"/>
    <w:rsid w:val="000B243E"/>
    <w:rsid w:val="000B2620"/>
    <w:rsid w:val="000C13B8"/>
    <w:rsid w:val="000E35B7"/>
    <w:rsid w:val="00122D4F"/>
    <w:rsid w:val="0013055A"/>
    <w:rsid w:val="001356AA"/>
    <w:rsid w:val="001552E4"/>
    <w:rsid w:val="00165E11"/>
    <w:rsid w:val="001749C4"/>
    <w:rsid w:val="001826EC"/>
    <w:rsid w:val="00183370"/>
    <w:rsid w:val="00183E19"/>
    <w:rsid w:val="001869AE"/>
    <w:rsid w:val="001903EB"/>
    <w:rsid w:val="00190803"/>
    <w:rsid w:val="001A3F45"/>
    <w:rsid w:val="001A43CF"/>
    <w:rsid w:val="001C03E2"/>
    <w:rsid w:val="001C3B93"/>
    <w:rsid w:val="001E387A"/>
    <w:rsid w:val="001F591A"/>
    <w:rsid w:val="002125DC"/>
    <w:rsid w:val="00225459"/>
    <w:rsid w:val="002340F7"/>
    <w:rsid w:val="00246B7A"/>
    <w:rsid w:val="00252B44"/>
    <w:rsid w:val="00256C7D"/>
    <w:rsid w:val="002808B1"/>
    <w:rsid w:val="00292985"/>
    <w:rsid w:val="002B21A3"/>
    <w:rsid w:val="002B5485"/>
    <w:rsid w:val="002B562B"/>
    <w:rsid w:val="002B7690"/>
    <w:rsid w:val="002C04B0"/>
    <w:rsid w:val="002D4FFF"/>
    <w:rsid w:val="002D7849"/>
    <w:rsid w:val="002E50A6"/>
    <w:rsid w:val="002F7234"/>
    <w:rsid w:val="00300C2D"/>
    <w:rsid w:val="00310CBF"/>
    <w:rsid w:val="00310E48"/>
    <w:rsid w:val="00313110"/>
    <w:rsid w:val="0031512A"/>
    <w:rsid w:val="003219FA"/>
    <w:rsid w:val="003302D8"/>
    <w:rsid w:val="0036331C"/>
    <w:rsid w:val="00365D07"/>
    <w:rsid w:val="00377B39"/>
    <w:rsid w:val="00385B4F"/>
    <w:rsid w:val="00397943"/>
    <w:rsid w:val="003A5A7C"/>
    <w:rsid w:val="003B4755"/>
    <w:rsid w:val="003C566E"/>
    <w:rsid w:val="003C5AB2"/>
    <w:rsid w:val="003C721B"/>
    <w:rsid w:val="003F4FDA"/>
    <w:rsid w:val="003F7AA6"/>
    <w:rsid w:val="003F7B51"/>
    <w:rsid w:val="00405F39"/>
    <w:rsid w:val="00414401"/>
    <w:rsid w:val="00414B52"/>
    <w:rsid w:val="00420043"/>
    <w:rsid w:val="00437B15"/>
    <w:rsid w:val="00447448"/>
    <w:rsid w:val="004505A5"/>
    <w:rsid w:val="004638E8"/>
    <w:rsid w:val="00470B35"/>
    <w:rsid w:val="00476CEA"/>
    <w:rsid w:val="004963DF"/>
    <w:rsid w:val="00497638"/>
    <w:rsid w:val="004A0A8B"/>
    <w:rsid w:val="004B42EB"/>
    <w:rsid w:val="004B5041"/>
    <w:rsid w:val="004D08A3"/>
    <w:rsid w:val="004F5D0B"/>
    <w:rsid w:val="005047D9"/>
    <w:rsid w:val="005116B3"/>
    <w:rsid w:val="00522ED3"/>
    <w:rsid w:val="00523426"/>
    <w:rsid w:val="00523EEF"/>
    <w:rsid w:val="00530219"/>
    <w:rsid w:val="0053689A"/>
    <w:rsid w:val="005517D0"/>
    <w:rsid w:val="00551D57"/>
    <w:rsid w:val="00553CED"/>
    <w:rsid w:val="005578B4"/>
    <w:rsid w:val="005839D5"/>
    <w:rsid w:val="0059792F"/>
    <w:rsid w:val="005A411A"/>
    <w:rsid w:val="005A5AF7"/>
    <w:rsid w:val="005C3A23"/>
    <w:rsid w:val="005D23E6"/>
    <w:rsid w:val="005D27B3"/>
    <w:rsid w:val="005F02D3"/>
    <w:rsid w:val="005F3753"/>
    <w:rsid w:val="00615A20"/>
    <w:rsid w:val="006273FF"/>
    <w:rsid w:val="006331C2"/>
    <w:rsid w:val="00636A9B"/>
    <w:rsid w:val="00643E3D"/>
    <w:rsid w:val="00646C58"/>
    <w:rsid w:val="006766B7"/>
    <w:rsid w:val="00677798"/>
    <w:rsid w:val="0069091B"/>
    <w:rsid w:val="00692492"/>
    <w:rsid w:val="00692F12"/>
    <w:rsid w:val="006A1C94"/>
    <w:rsid w:val="006C56A7"/>
    <w:rsid w:val="006E03DF"/>
    <w:rsid w:val="00704363"/>
    <w:rsid w:val="00707131"/>
    <w:rsid w:val="007078A6"/>
    <w:rsid w:val="007110F5"/>
    <w:rsid w:val="00720335"/>
    <w:rsid w:val="007212C5"/>
    <w:rsid w:val="007302B3"/>
    <w:rsid w:val="007361F5"/>
    <w:rsid w:val="007472FB"/>
    <w:rsid w:val="007504A0"/>
    <w:rsid w:val="00756311"/>
    <w:rsid w:val="00772C2A"/>
    <w:rsid w:val="0077764D"/>
    <w:rsid w:val="007827AD"/>
    <w:rsid w:val="00783608"/>
    <w:rsid w:val="007B131E"/>
    <w:rsid w:val="007C23A0"/>
    <w:rsid w:val="007E2631"/>
    <w:rsid w:val="007E35E4"/>
    <w:rsid w:val="007F0288"/>
    <w:rsid w:val="00814CE7"/>
    <w:rsid w:val="00854E57"/>
    <w:rsid w:val="00866FAA"/>
    <w:rsid w:val="0088036C"/>
    <w:rsid w:val="00890AB8"/>
    <w:rsid w:val="008B112E"/>
    <w:rsid w:val="008B34F8"/>
    <w:rsid w:val="008B57F4"/>
    <w:rsid w:val="008B7EAB"/>
    <w:rsid w:val="008D5B28"/>
    <w:rsid w:val="008D7639"/>
    <w:rsid w:val="008E2E01"/>
    <w:rsid w:val="008F0539"/>
    <w:rsid w:val="008F2D04"/>
    <w:rsid w:val="008F2D16"/>
    <w:rsid w:val="008F4276"/>
    <w:rsid w:val="008F7039"/>
    <w:rsid w:val="009026AB"/>
    <w:rsid w:val="00916115"/>
    <w:rsid w:val="009353F4"/>
    <w:rsid w:val="009367AB"/>
    <w:rsid w:val="009442CC"/>
    <w:rsid w:val="0095596A"/>
    <w:rsid w:val="00967E91"/>
    <w:rsid w:val="0097397A"/>
    <w:rsid w:val="00975FAD"/>
    <w:rsid w:val="0097798B"/>
    <w:rsid w:val="00981F3C"/>
    <w:rsid w:val="00995E6F"/>
    <w:rsid w:val="009D1499"/>
    <w:rsid w:val="009E2242"/>
    <w:rsid w:val="009F5C5D"/>
    <w:rsid w:val="00A1310E"/>
    <w:rsid w:val="00A22C41"/>
    <w:rsid w:val="00A37767"/>
    <w:rsid w:val="00A64F61"/>
    <w:rsid w:val="00A756E7"/>
    <w:rsid w:val="00A8057A"/>
    <w:rsid w:val="00A827E1"/>
    <w:rsid w:val="00A86B79"/>
    <w:rsid w:val="00A87A95"/>
    <w:rsid w:val="00AA066C"/>
    <w:rsid w:val="00AD163D"/>
    <w:rsid w:val="00AE023B"/>
    <w:rsid w:val="00AE7CB2"/>
    <w:rsid w:val="00B10929"/>
    <w:rsid w:val="00B14D48"/>
    <w:rsid w:val="00B211E5"/>
    <w:rsid w:val="00B308D9"/>
    <w:rsid w:val="00B61B72"/>
    <w:rsid w:val="00B84C2D"/>
    <w:rsid w:val="00B9614E"/>
    <w:rsid w:val="00BA44CD"/>
    <w:rsid w:val="00BA78A9"/>
    <w:rsid w:val="00BD05B8"/>
    <w:rsid w:val="00BE0C37"/>
    <w:rsid w:val="00BF31A7"/>
    <w:rsid w:val="00C34DBE"/>
    <w:rsid w:val="00C43AAB"/>
    <w:rsid w:val="00C516B7"/>
    <w:rsid w:val="00C5509C"/>
    <w:rsid w:val="00C61927"/>
    <w:rsid w:val="00C66E83"/>
    <w:rsid w:val="00C855E0"/>
    <w:rsid w:val="00C9503D"/>
    <w:rsid w:val="00C954ED"/>
    <w:rsid w:val="00CA12D4"/>
    <w:rsid w:val="00CB3218"/>
    <w:rsid w:val="00CC4051"/>
    <w:rsid w:val="00D070A4"/>
    <w:rsid w:val="00D2012F"/>
    <w:rsid w:val="00D20694"/>
    <w:rsid w:val="00D3162F"/>
    <w:rsid w:val="00DB495A"/>
    <w:rsid w:val="00DC39DD"/>
    <w:rsid w:val="00DC4258"/>
    <w:rsid w:val="00DC4630"/>
    <w:rsid w:val="00DE1BF5"/>
    <w:rsid w:val="00DE5E22"/>
    <w:rsid w:val="00DE65EE"/>
    <w:rsid w:val="00DF57BA"/>
    <w:rsid w:val="00E057EF"/>
    <w:rsid w:val="00E061C4"/>
    <w:rsid w:val="00E15C46"/>
    <w:rsid w:val="00E217A5"/>
    <w:rsid w:val="00E22B9A"/>
    <w:rsid w:val="00E22E42"/>
    <w:rsid w:val="00E26D08"/>
    <w:rsid w:val="00E27CAD"/>
    <w:rsid w:val="00E3646A"/>
    <w:rsid w:val="00E37E23"/>
    <w:rsid w:val="00E5383D"/>
    <w:rsid w:val="00E67D13"/>
    <w:rsid w:val="00E7156B"/>
    <w:rsid w:val="00E747C1"/>
    <w:rsid w:val="00E92600"/>
    <w:rsid w:val="00E973B9"/>
    <w:rsid w:val="00EC40E2"/>
    <w:rsid w:val="00EE5409"/>
    <w:rsid w:val="00EF3DAD"/>
    <w:rsid w:val="00F008FC"/>
    <w:rsid w:val="00F33A96"/>
    <w:rsid w:val="00F433B5"/>
    <w:rsid w:val="00F61F20"/>
    <w:rsid w:val="00F62A64"/>
    <w:rsid w:val="00F95AB4"/>
    <w:rsid w:val="00FB6B69"/>
    <w:rsid w:val="00FC03AD"/>
    <w:rsid w:val="00FC3F7A"/>
    <w:rsid w:val="00FD206E"/>
    <w:rsid w:val="00FD4C8F"/>
    <w:rsid w:val="02CF3CC6"/>
    <w:rsid w:val="04551CD0"/>
    <w:rsid w:val="049E24C9"/>
    <w:rsid w:val="0503706E"/>
    <w:rsid w:val="05BC4197"/>
    <w:rsid w:val="065C563B"/>
    <w:rsid w:val="06B32C24"/>
    <w:rsid w:val="06DD0543"/>
    <w:rsid w:val="07333427"/>
    <w:rsid w:val="08704B44"/>
    <w:rsid w:val="089A24B7"/>
    <w:rsid w:val="08AD66BF"/>
    <w:rsid w:val="09C83DD9"/>
    <w:rsid w:val="0A75379B"/>
    <w:rsid w:val="0A8A1223"/>
    <w:rsid w:val="0DC56F30"/>
    <w:rsid w:val="0E2105AA"/>
    <w:rsid w:val="0E2E20B0"/>
    <w:rsid w:val="0F0D1E64"/>
    <w:rsid w:val="0F852F94"/>
    <w:rsid w:val="0FF72ED6"/>
    <w:rsid w:val="101D7F32"/>
    <w:rsid w:val="10974E55"/>
    <w:rsid w:val="1187232E"/>
    <w:rsid w:val="12464EC9"/>
    <w:rsid w:val="12A52F89"/>
    <w:rsid w:val="12D24275"/>
    <w:rsid w:val="14115BC4"/>
    <w:rsid w:val="14DA773E"/>
    <w:rsid w:val="14E509BF"/>
    <w:rsid w:val="1987149D"/>
    <w:rsid w:val="1B2116F8"/>
    <w:rsid w:val="1D687648"/>
    <w:rsid w:val="1D7D2E7E"/>
    <w:rsid w:val="1D816AF4"/>
    <w:rsid w:val="1E3C04FF"/>
    <w:rsid w:val="1FB374E2"/>
    <w:rsid w:val="1FCD775C"/>
    <w:rsid w:val="200153B1"/>
    <w:rsid w:val="20177246"/>
    <w:rsid w:val="204A5932"/>
    <w:rsid w:val="21305827"/>
    <w:rsid w:val="22271E6A"/>
    <w:rsid w:val="22741DFC"/>
    <w:rsid w:val="234F262C"/>
    <w:rsid w:val="24FA3F04"/>
    <w:rsid w:val="250C2AB4"/>
    <w:rsid w:val="25DA1E9E"/>
    <w:rsid w:val="26E3496A"/>
    <w:rsid w:val="28BC1A1F"/>
    <w:rsid w:val="2A0E2C69"/>
    <w:rsid w:val="2A6F5D8D"/>
    <w:rsid w:val="2ACC226C"/>
    <w:rsid w:val="2ACE4967"/>
    <w:rsid w:val="2B9737BF"/>
    <w:rsid w:val="2C9C0236"/>
    <w:rsid w:val="2DB24116"/>
    <w:rsid w:val="2E400035"/>
    <w:rsid w:val="2FF20516"/>
    <w:rsid w:val="311501FA"/>
    <w:rsid w:val="33FA5F91"/>
    <w:rsid w:val="348A688E"/>
    <w:rsid w:val="357A4F7B"/>
    <w:rsid w:val="36FA5194"/>
    <w:rsid w:val="37292C37"/>
    <w:rsid w:val="37E62755"/>
    <w:rsid w:val="3A082B2C"/>
    <w:rsid w:val="3AE47C68"/>
    <w:rsid w:val="3B463707"/>
    <w:rsid w:val="3C3759EC"/>
    <w:rsid w:val="3DB63595"/>
    <w:rsid w:val="3DDB6BBB"/>
    <w:rsid w:val="3F0B444F"/>
    <w:rsid w:val="3F1D35F1"/>
    <w:rsid w:val="3F877855"/>
    <w:rsid w:val="40516BE1"/>
    <w:rsid w:val="40564AA5"/>
    <w:rsid w:val="40D8736D"/>
    <w:rsid w:val="415B077F"/>
    <w:rsid w:val="43AC4E31"/>
    <w:rsid w:val="44E36ABF"/>
    <w:rsid w:val="45441C55"/>
    <w:rsid w:val="45950BF8"/>
    <w:rsid w:val="4613307A"/>
    <w:rsid w:val="46264A94"/>
    <w:rsid w:val="475C03BA"/>
    <w:rsid w:val="4B355902"/>
    <w:rsid w:val="4C6C1F0F"/>
    <w:rsid w:val="4CC5357D"/>
    <w:rsid w:val="4CF44372"/>
    <w:rsid w:val="4EE14E94"/>
    <w:rsid w:val="4FD61114"/>
    <w:rsid w:val="503E6F9A"/>
    <w:rsid w:val="50AF509F"/>
    <w:rsid w:val="5177184A"/>
    <w:rsid w:val="51FB16B0"/>
    <w:rsid w:val="52F47943"/>
    <w:rsid w:val="53C776E8"/>
    <w:rsid w:val="53CC515B"/>
    <w:rsid w:val="54295AB7"/>
    <w:rsid w:val="56DB0ADA"/>
    <w:rsid w:val="58361A06"/>
    <w:rsid w:val="58F024F7"/>
    <w:rsid w:val="59017BB1"/>
    <w:rsid w:val="59AA1C78"/>
    <w:rsid w:val="59BA77EA"/>
    <w:rsid w:val="5A7A4154"/>
    <w:rsid w:val="5A7B0BB3"/>
    <w:rsid w:val="5C323E94"/>
    <w:rsid w:val="5C9D4C9B"/>
    <w:rsid w:val="5D9056D4"/>
    <w:rsid w:val="5D971FD6"/>
    <w:rsid w:val="602B4E58"/>
    <w:rsid w:val="60B44D40"/>
    <w:rsid w:val="60DB35D2"/>
    <w:rsid w:val="61A95B63"/>
    <w:rsid w:val="61F83A37"/>
    <w:rsid w:val="62E540E6"/>
    <w:rsid w:val="64707A95"/>
    <w:rsid w:val="65011859"/>
    <w:rsid w:val="67100897"/>
    <w:rsid w:val="675302EE"/>
    <w:rsid w:val="679152CF"/>
    <w:rsid w:val="68705391"/>
    <w:rsid w:val="695149B4"/>
    <w:rsid w:val="69A36BD3"/>
    <w:rsid w:val="6B003A48"/>
    <w:rsid w:val="6B1A2030"/>
    <w:rsid w:val="6E5E2158"/>
    <w:rsid w:val="6ECE41CF"/>
    <w:rsid w:val="6F59453A"/>
    <w:rsid w:val="6F866531"/>
    <w:rsid w:val="6FC53F61"/>
    <w:rsid w:val="73191A3E"/>
    <w:rsid w:val="743877F5"/>
    <w:rsid w:val="768C72A2"/>
    <w:rsid w:val="77505C86"/>
    <w:rsid w:val="78725816"/>
    <w:rsid w:val="7B6246AA"/>
    <w:rsid w:val="7B920AEC"/>
    <w:rsid w:val="7C790090"/>
    <w:rsid w:val="7D35463C"/>
    <w:rsid w:val="7D4D2117"/>
    <w:rsid w:val="7FDB3880"/>
    <w:rsid w:val="7FDC26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qFormat="1" w:unhideWhenUsed="0" w:uiPriority="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iPriority="99"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9"/>
    <w:qFormat/>
    <w:uiPriority w:val="99"/>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4">
    <w:name w:val="heading 2"/>
    <w:basedOn w:val="1"/>
    <w:next w:val="1"/>
    <w:semiHidden/>
    <w:unhideWhenUsed/>
    <w:qFormat/>
    <w:uiPriority w:val="9"/>
    <w:pPr>
      <w:keepNext/>
      <w:keepLines/>
      <w:spacing w:line="360" w:lineRule="auto"/>
      <w:outlineLvl w:val="1"/>
    </w:pPr>
    <w:rPr>
      <w:rFonts w:ascii="Arial" w:hAnsi="Arial" w:eastAsia="黑体"/>
      <w:b/>
      <w:bCs/>
      <w:kern w:val="2"/>
      <w:sz w:val="30"/>
      <w:szCs w:val="32"/>
      <w:lang w:eastAsia="zh-CN" w:bidi="ar-SA"/>
    </w:rPr>
  </w:style>
  <w:style w:type="paragraph" w:styleId="5">
    <w:name w:val="heading 3"/>
    <w:basedOn w:val="1"/>
    <w:next w:val="1"/>
    <w:link w:val="27"/>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22">
    <w:name w:val="Default Paragraph Font"/>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table of authorities"/>
    <w:basedOn w:val="1"/>
    <w:next w:val="1"/>
    <w:unhideWhenUsed/>
    <w:qFormat/>
    <w:uiPriority w:val="99"/>
    <w:pPr>
      <w:spacing w:line="360" w:lineRule="auto"/>
      <w:ind w:left="420" w:leftChars="200" w:firstLine="640" w:firstLineChars="200"/>
    </w:pPr>
    <w:rPr>
      <w:rFonts w:ascii="宋体" w:hAnsi="宋体"/>
      <w:sz w:val="24"/>
    </w:rPr>
  </w:style>
  <w:style w:type="paragraph" w:styleId="6">
    <w:name w:val="Normal Indent"/>
    <w:basedOn w:val="1"/>
    <w:next w:val="1"/>
    <w:qFormat/>
    <w:uiPriority w:val="99"/>
    <w:pPr>
      <w:ind w:firstLine="420" w:firstLineChars="200"/>
    </w:pPr>
    <w:rPr>
      <w:rFonts w:ascii="宋体" w:hAnsi="宋体" w:eastAsia="宋体" w:cs="Times New Roman"/>
      <w:sz w:val="28"/>
      <w:szCs w:val="24"/>
    </w:rPr>
  </w:style>
  <w:style w:type="paragraph" w:styleId="7">
    <w:name w:val="annotation text"/>
    <w:basedOn w:val="1"/>
    <w:link w:val="32"/>
    <w:semiHidden/>
    <w:qFormat/>
    <w:uiPriority w:val="0"/>
    <w:pPr>
      <w:jc w:val="left"/>
    </w:pPr>
    <w:rPr>
      <w:rFonts w:ascii="Times New Roman" w:hAnsi="Times New Roman" w:eastAsia="宋体" w:cs="Times New Roman"/>
      <w:kern w:val="0"/>
      <w:sz w:val="24"/>
      <w:szCs w:val="20"/>
    </w:rPr>
  </w:style>
  <w:style w:type="paragraph" w:styleId="8">
    <w:name w:val="Body Text"/>
    <w:basedOn w:val="1"/>
    <w:next w:val="1"/>
    <w:link w:val="33"/>
    <w:qFormat/>
    <w:uiPriority w:val="0"/>
    <w:pPr>
      <w:widowControl/>
      <w:snapToGrid w:val="0"/>
      <w:spacing w:before="60" w:after="160" w:line="259" w:lineRule="auto"/>
      <w:ind w:right="113"/>
    </w:pPr>
    <w:rPr>
      <w:rFonts w:ascii="Times New Roman" w:hAnsi="Times New Roman" w:eastAsia="宋体" w:cs="Times New Roman"/>
      <w:kern w:val="0"/>
      <w:sz w:val="18"/>
      <w:szCs w:val="20"/>
    </w:rPr>
  </w:style>
  <w:style w:type="paragraph" w:styleId="9">
    <w:name w:val="Body Text Indent"/>
    <w:basedOn w:val="1"/>
    <w:next w:val="10"/>
    <w:link w:val="34"/>
    <w:qFormat/>
    <w:uiPriority w:val="0"/>
    <w:pPr>
      <w:spacing w:after="120"/>
      <w:ind w:left="420" w:leftChars="200"/>
    </w:pPr>
    <w:rPr>
      <w:rFonts w:ascii="Times New Roman" w:hAnsi="Times New Roman" w:eastAsia="宋体" w:cs="Times New Roman"/>
      <w:kern w:val="0"/>
      <w:sz w:val="24"/>
      <w:szCs w:val="20"/>
    </w:rPr>
  </w:style>
  <w:style w:type="paragraph" w:styleId="10">
    <w:name w:val="Body Text Indent 2"/>
    <w:basedOn w:val="1"/>
    <w:next w:val="1"/>
    <w:qFormat/>
    <w:uiPriority w:val="0"/>
    <w:pPr>
      <w:spacing w:before="50" w:after="50" w:line="240" w:lineRule="auto"/>
      <w:ind w:firstLine="634" w:firstLineChars="198"/>
    </w:pPr>
    <w:rPr>
      <w:rFonts w:ascii="仿宋_GB2312" w:eastAsia="仿宋_GB2312"/>
      <w:sz w:val="32"/>
    </w:rPr>
  </w:style>
  <w:style w:type="paragraph" w:styleId="11">
    <w:name w:val="Plain Text"/>
    <w:basedOn w:val="1"/>
    <w:next w:val="12"/>
    <w:link w:val="35"/>
    <w:qFormat/>
    <w:uiPriority w:val="0"/>
    <w:rPr>
      <w:rFonts w:ascii="宋体" w:hAnsi="Courier New" w:eastAsia="宋体" w:cs="Times New Roman"/>
      <w:szCs w:val="20"/>
    </w:rPr>
  </w:style>
  <w:style w:type="paragraph" w:styleId="12">
    <w:name w:val="toc 1"/>
    <w:basedOn w:val="1"/>
    <w:next w:val="1"/>
    <w:qFormat/>
    <w:uiPriority w:val="0"/>
    <w:pPr>
      <w:tabs>
        <w:tab w:val="right" w:leader="dot" w:pos="8302"/>
      </w:tabs>
      <w:spacing w:line="500" w:lineRule="exact"/>
      <w:jc w:val="center"/>
    </w:pPr>
    <w:rPr>
      <w:rFonts w:ascii="宋体" w:hAnsi="宋体" w:eastAsia="宋体" w:cs="Times New Roman"/>
      <w:color w:val="000000"/>
      <w:sz w:val="24"/>
      <w:szCs w:val="24"/>
    </w:rPr>
  </w:style>
  <w:style w:type="paragraph" w:styleId="13">
    <w:name w:val="Date"/>
    <w:basedOn w:val="1"/>
    <w:next w:val="1"/>
    <w:link w:val="36"/>
    <w:qFormat/>
    <w:uiPriority w:val="0"/>
    <w:pPr>
      <w:ind w:left="100" w:leftChars="2500"/>
    </w:pPr>
    <w:rPr>
      <w:rFonts w:ascii="Times New Roman" w:hAnsi="Times New Roman" w:eastAsia="宋体" w:cs="Times New Roman"/>
      <w:kern w:val="0"/>
      <w:sz w:val="24"/>
      <w:szCs w:val="20"/>
    </w:rPr>
  </w:style>
  <w:style w:type="paragraph" w:styleId="14">
    <w:name w:val="Balloon Text"/>
    <w:basedOn w:val="1"/>
    <w:link w:val="37"/>
    <w:semiHidden/>
    <w:qFormat/>
    <w:uiPriority w:val="0"/>
    <w:rPr>
      <w:rFonts w:ascii="Times New Roman" w:hAnsi="Times New Roman" w:eastAsia="宋体" w:cs="Times New Roman"/>
      <w:kern w:val="0"/>
      <w:sz w:val="18"/>
      <w:szCs w:val="20"/>
    </w:rPr>
  </w:style>
  <w:style w:type="paragraph" w:styleId="15">
    <w:name w:val="footer"/>
    <w:basedOn w:val="1"/>
    <w:link w:val="31"/>
    <w:unhideWhenUsed/>
    <w:qFormat/>
    <w:uiPriority w:val="99"/>
    <w:pPr>
      <w:tabs>
        <w:tab w:val="center" w:pos="4153"/>
        <w:tab w:val="right" w:pos="8306"/>
      </w:tabs>
      <w:snapToGrid w:val="0"/>
      <w:jc w:val="left"/>
    </w:pPr>
    <w:rPr>
      <w:sz w:val="18"/>
      <w:szCs w:val="18"/>
    </w:rPr>
  </w:style>
  <w:style w:type="paragraph" w:styleId="16">
    <w:name w:val="header"/>
    <w:basedOn w:val="1"/>
    <w:link w:val="30"/>
    <w:unhideWhenUsed/>
    <w:qFormat/>
    <w:uiPriority w:val="0"/>
    <w:pPr>
      <w:pBdr>
        <w:bottom w:val="single" w:color="auto" w:sz="6" w:space="1"/>
      </w:pBdr>
      <w:tabs>
        <w:tab w:val="center" w:pos="4153"/>
        <w:tab w:val="right" w:pos="8306"/>
      </w:tabs>
      <w:snapToGrid w:val="0"/>
      <w:jc w:val="center"/>
    </w:pPr>
    <w:rPr>
      <w:sz w:val="18"/>
      <w:szCs w:val="18"/>
    </w:rPr>
  </w:style>
  <w:style w:type="paragraph" w:styleId="17">
    <w:name w:val="Normal (Web)"/>
    <w:basedOn w:val="1"/>
    <w:link w:val="38"/>
    <w:qFormat/>
    <w:uiPriority w:val="0"/>
    <w:pPr>
      <w:widowControl/>
      <w:spacing w:before="100" w:beforeAutospacing="1" w:after="100" w:afterAutospacing="1"/>
      <w:jc w:val="left"/>
    </w:pPr>
    <w:rPr>
      <w:rFonts w:ascii="宋体" w:hAnsi="宋体" w:eastAsia="宋体" w:cs="Times New Roman"/>
      <w:kern w:val="0"/>
      <w:sz w:val="24"/>
      <w:szCs w:val="20"/>
    </w:rPr>
  </w:style>
  <w:style w:type="paragraph" w:styleId="18">
    <w:name w:val="annotation subject"/>
    <w:basedOn w:val="7"/>
    <w:next w:val="7"/>
    <w:link w:val="39"/>
    <w:semiHidden/>
    <w:qFormat/>
    <w:uiPriority w:val="0"/>
    <w:rPr>
      <w:b/>
    </w:rPr>
  </w:style>
  <w:style w:type="paragraph" w:styleId="19">
    <w:name w:val="Body Text First Indent 2"/>
    <w:basedOn w:val="1"/>
    <w:next w:val="1"/>
    <w:qFormat/>
    <w:uiPriority w:val="0"/>
    <w:pPr>
      <w:spacing w:after="120" w:line="240" w:lineRule="auto"/>
      <w:ind w:left="420" w:leftChars="200" w:firstLine="420" w:firstLineChars="200"/>
    </w:pPr>
    <w:rPr>
      <w:spacing w:val="0"/>
      <w:sz w:val="21"/>
      <w:szCs w:val="24"/>
    </w:rPr>
  </w:style>
  <w:style w:type="table" w:styleId="21">
    <w:name w:val="Table Grid"/>
    <w:basedOn w:val="20"/>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qFormat/>
    <w:uiPriority w:val="0"/>
  </w:style>
  <w:style w:type="character" w:styleId="24">
    <w:name w:val="Emphasis"/>
    <w:qFormat/>
    <w:uiPriority w:val="20"/>
    <w:rPr>
      <w:rFonts w:hint="default" w:ascii="Times New Roman" w:hAnsi="Times New Roman" w:eastAsia="宋体" w:cs="Times New Roman"/>
      <w:sz w:val="21"/>
    </w:rPr>
  </w:style>
  <w:style w:type="character" w:styleId="25">
    <w:name w:val="Hyperlink"/>
    <w:basedOn w:val="22"/>
    <w:qFormat/>
    <w:uiPriority w:val="0"/>
    <w:rPr>
      <w:color w:val="0000FF"/>
      <w:u w:val="single"/>
    </w:rPr>
  </w:style>
  <w:style w:type="character" w:styleId="26">
    <w:name w:val="annotation reference"/>
    <w:semiHidden/>
    <w:qFormat/>
    <w:uiPriority w:val="0"/>
    <w:rPr>
      <w:sz w:val="21"/>
    </w:rPr>
  </w:style>
  <w:style w:type="character" w:customStyle="1" w:styleId="27">
    <w:name w:val="标题 3 Char"/>
    <w:basedOn w:val="22"/>
    <w:link w:val="5"/>
    <w:qFormat/>
    <w:uiPriority w:val="0"/>
    <w:rPr>
      <w:rFonts w:ascii="Times New Roman" w:hAnsi="Times New Roman" w:eastAsia="宋体" w:cs="Times New Roman"/>
      <w:b/>
      <w:bCs/>
      <w:sz w:val="32"/>
      <w:szCs w:val="32"/>
    </w:rPr>
  </w:style>
  <w:style w:type="paragraph" w:customStyle="1" w:styleId="28">
    <w:name w:val="表格文字"/>
    <w:basedOn w:val="1"/>
    <w:next w:val="1"/>
    <w:qFormat/>
    <w:uiPriority w:val="0"/>
    <w:pPr>
      <w:jc w:val="center"/>
    </w:pPr>
    <w:rPr>
      <w:rFonts w:ascii="仿宋_GB2312" w:hAnsi="Arial Black" w:eastAsia="仿宋_GB2312" w:cs="Times New Roman"/>
      <w:kern w:val="44"/>
      <w:sz w:val="24"/>
      <w:szCs w:val="24"/>
    </w:rPr>
  </w:style>
  <w:style w:type="character" w:customStyle="1" w:styleId="29">
    <w:name w:val="标题 1 Char"/>
    <w:basedOn w:val="22"/>
    <w:link w:val="3"/>
    <w:qFormat/>
    <w:uiPriority w:val="99"/>
    <w:rPr>
      <w:rFonts w:ascii="Times New Roman" w:hAnsi="Times New Roman" w:eastAsia="黑体" w:cs="Times New Roman"/>
      <w:b/>
      <w:bCs/>
      <w:color w:val="000000"/>
      <w:kern w:val="44"/>
      <w:sz w:val="30"/>
      <w:szCs w:val="30"/>
    </w:rPr>
  </w:style>
  <w:style w:type="character" w:customStyle="1" w:styleId="30">
    <w:name w:val="页眉 Char"/>
    <w:basedOn w:val="22"/>
    <w:link w:val="16"/>
    <w:qFormat/>
    <w:uiPriority w:val="0"/>
    <w:rPr>
      <w:sz w:val="18"/>
      <w:szCs w:val="18"/>
    </w:rPr>
  </w:style>
  <w:style w:type="character" w:customStyle="1" w:styleId="31">
    <w:name w:val="页脚 Char"/>
    <w:basedOn w:val="22"/>
    <w:link w:val="15"/>
    <w:qFormat/>
    <w:uiPriority w:val="99"/>
    <w:rPr>
      <w:sz w:val="18"/>
      <w:szCs w:val="18"/>
    </w:rPr>
  </w:style>
  <w:style w:type="character" w:customStyle="1" w:styleId="32">
    <w:name w:val="批注文字 Char"/>
    <w:basedOn w:val="22"/>
    <w:link w:val="7"/>
    <w:qFormat/>
    <w:uiPriority w:val="0"/>
    <w:rPr>
      <w:rFonts w:ascii="Times New Roman" w:hAnsi="Times New Roman" w:eastAsia="宋体" w:cs="Times New Roman"/>
      <w:kern w:val="0"/>
      <w:sz w:val="24"/>
      <w:szCs w:val="20"/>
    </w:rPr>
  </w:style>
  <w:style w:type="character" w:customStyle="1" w:styleId="33">
    <w:name w:val="正文文本 Char"/>
    <w:basedOn w:val="22"/>
    <w:link w:val="8"/>
    <w:qFormat/>
    <w:uiPriority w:val="0"/>
    <w:rPr>
      <w:rFonts w:ascii="Times New Roman" w:hAnsi="Times New Roman" w:eastAsia="宋体" w:cs="Times New Roman"/>
      <w:kern w:val="0"/>
      <w:sz w:val="18"/>
      <w:szCs w:val="20"/>
    </w:rPr>
  </w:style>
  <w:style w:type="character" w:customStyle="1" w:styleId="34">
    <w:name w:val="正文文本缩进 Char"/>
    <w:basedOn w:val="22"/>
    <w:link w:val="9"/>
    <w:qFormat/>
    <w:uiPriority w:val="0"/>
    <w:rPr>
      <w:rFonts w:ascii="Times New Roman" w:hAnsi="Times New Roman" w:eastAsia="宋体" w:cs="Times New Roman"/>
      <w:kern w:val="0"/>
      <w:sz w:val="24"/>
      <w:szCs w:val="20"/>
    </w:rPr>
  </w:style>
  <w:style w:type="character" w:customStyle="1" w:styleId="35">
    <w:name w:val="纯文本 Char"/>
    <w:basedOn w:val="22"/>
    <w:link w:val="11"/>
    <w:qFormat/>
    <w:uiPriority w:val="0"/>
    <w:rPr>
      <w:rFonts w:ascii="宋体" w:hAnsi="Courier New" w:eastAsia="宋体" w:cs="Times New Roman"/>
      <w:szCs w:val="20"/>
    </w:rPr>
  </w:style>
  <w:style w:type="character" w:customStyle="1" w:styleId="36">
    <w:name w:val="日期 Char"/>
    <w:basedOn w:val="22"/>
    <w:link w:val="13"/>
    <w:qFormat/>
    <w:uiPriority w:val="0"/>
    <w:rPr>
      <w:rFonts w:ascii="Times New Roman" w:hAnsi="Times New Roman" w:eastAsia="宋体" w:cs="Times New Roman"/>
      <w:kern w:val="0"/>
      <w:sz w:val="24"/>
      <w:szCs w:val="20"/>
    </w:rPr>
  </w:style>
  <w:style w:type="character" w:customStyle="1" w:styleId="37">
    <w:name w:val="批注框文本 Char"/>
    <w:basedOn w:val="22"/>
    <w:link w:val="14"/>
    <w:semiHidden/>
    <w:qFormat/>
    <w:uiPriority w:val="0"/>
    <w:rPr>
      <w:rFonts w:ascii="Times New Roman" w:hAnsi="Times New Roman" w:eastAsia="宋体" w:cs="Times New Roman"/>
      <w:kern w:val="0"/>
      <w:sz w:val="18"/>
      <w:szCs w:val="20"/>
    </w:rPr>
  </w:style>
  <w:style w:type="character" w:customStyle="1" w:styleId="38">
    <w:name w:val="普通(网站) Char"/>
    <w:link w:val="17"/>
    <w:qFormat/>
    <w:locked/>
    <w:uiPriority w:val="0"/>
    <w:rPr>
      <w:rFonts w:ascii="宋体" w:hAnsi="宋体" w:eastAsia="宋体" w:cs="Times New Roman"/>
      <w:kern w:val="0"/>
      <w:sz w:val="24"/>
      <w:szCs w:val="20"/>
    </w:rPr>
  </w:style>
  <w:style w:type="character" w:customStyle="1" w:styleId="39">
    <w:name w:val="批注主题 Char"/>
    <w:basedOn w:val="32"/>
    <w:link w:val="18"/>
    <w:semiHidden/>
    <w:qFormat/>
    <w:uiPriority w:val="0"/>
    <w:rPr>
      <w:rFonts w:ascii="Times New Roman" w:hAnsi="Times New Roman" w:eastAsia="宋体" w:cs="Times New Roman"/>
      <w:b/>
      <w:kern w:val="0"/>
      <w:sz w:val="24"/>
      <w:szCs w:val="20"/>
    </w:rPr>
  </w:style>
  <w:style w:type="paragraph" w:customStyle="1" w:styleId="40">
    <w:name w:val="样式2"/>
    <w:basedOn w:val="1"/>
    <w:qFormat/>
    <w:uiPriority w:val="0"/>
    <w:rPr>
      <w:rFonts w:ascii="Times New Roman" w:hAnsi="Times New Roman" w:eastAsia="宋体" w:cs="Times New Roman"/>
      <w:szCs w:val="24"/>
    </w:rPr>
  </w:style>
  <w:style w:type="character" w:customStyle="1" w:styleId="41">
    <w:name w:val="页脚 字符"/>
    <w:basedOn w:val="22"/>
    <w:qFormat/>
    <w:uiPriority w:val="99"/>
  </w:style>
  <w:style w:type="character" w:customStyle="1" w:styleId="42">
    <w:name w:val="表格 Char"/>
    <w:link w:val="43"/>
    <w:qFormat/>
    <w:locked/>
    <w:uiPriority w:val="0"/>
    <w:rPr>
      <w:rFonts w:ascii="宋体"/>
    </w:rPr>
  </w:style>
  <w:style w:type="paragraph" w:customStyle="1" w:styleId="43">
    <w:name w:val="表格"/>
    <w:basedOn w:val="11"/>
    <w:next w:val="1"/>
    <w:link w:val="42"/>
    <w:qFormat/>
    <w:uiPriority w:val="0"/>
    <w:pPr>
      <w:adjustRightInd w:val="0"/>
      <w:snapToGrid w:val="0"/>
      <w:spacing w:beforeLines="10" w:afterLines="10" w:line="259" w:lineRule="auto"/>
      <w:jc w:val="center"/>
    </w:pPr>
    <w:rPr>
      <w:rFonts w:hAnsiTheme="minorHAnsi" w:eastAsiaTheme="minorEastAsia" w:cstheme="minorBidi"/>
      <w:szCs w:val="22"/>
    </w:rPr>
  </w:style>
  <w:style w:type="character" w:customStyle="1" w:styleId="44">
    <w:name w:val="正文文本 字符1"/>
    <w:semiHidden/>
    <w:qFormat/>
    <w:uiPriority w:val="0"/>
    <w:rPr>
      <w:rFonts w:ascii="Times New Roman" w:hAnsi="Times New Roman" w:eastAsia="宋体"/>
      <w:sz w:val="24"/>
    </w:rPr>
  </w:style>
  <w:style w:type="character" w:customStyle="1" w:styleId="45">
    <w:name w:val="批注文字 字符1"/>
    <w:semiHidden/>
    <w:qFormat/>
    <w:uiPriority w:val="0"/>
    <w:rPr>
      <w:rFonts w:ascii="Times New Roman" w:hAnsi="Times New Roman" w:eastAsia="宋体"/>
      <w:sz w:val="24"/>
    </w:rPr>
  </w:style>
  <w:style w:type="character" w:customStyle="1" w:styleId="46">
    <w:name w:val="NormalCharacter"/>
    <w:qFormat/>
    <w:uiPriority w:val="0"/>
  </w:style>
  <w:style w:type="character" w:customStyle="1" w:styleId="47">
    <w:name w:val="日期 字符"/>
    <w:semiHidden/>
    <w:qFormat/>
    <w:uiPriority w:val="0"/>
    <w:rPr>
      <w:rFonts w:ascii="Times New Roman" w:hAnsi="Times New Roman" w:eastAsia="宋体"/>
      <w:sz w:val="24"/>
    </w:rPr>
  </w:style>
  <w:style w:type="paragraph" w:customStyle="1" w:styleId="48">
    <w:name w:val="居中表格文字"/>
    <w:basedOn w:val="49"/>
    <w:next w:val="49"/>
    <w:qFormat/>
    <w:uiPriority w:val="0"/>
    <w:pPr>
      <w:spacing w:line="240" w:lineRule="auto"/>
      <w:ind w:firstLine="0" w:firstLineChars="0"/>
      <w:jc w:val="center"/>
    </w:pPr>
    <w:rPr>
      <w:sz w:val="21"/>
    </w:rPr>
  </w:style>
  <w:style w:type="paragraph" w:customStyle="1" w:styleId="49">
    <w:name w:val="报告表正文"/>
    <w:basedOn w:val="50"/>
    <w:qFormat/>
    <w:uiPriority w:val="0"/>
    <w:pPr>
      <w:topLinePunct/>
      <w:spacing w:line="360" w:lineRule="auto"/>
    </w:pPr>
    <w:rPr>
      <w:rFonts w:ascii="Times New Roman" w:hAnsi="Times New Roman"/>
      <w:bCs/>
      <w:sz w:val="24"/>
    </w:rPr>
  </w:style>
  <w:style w:type="paragraph" w:customStyle="1" w:styleId="50">
    <w:name w:val="报告正文"/>
    <w:basedOn w:val="1"/>
    <w:qFormat/>
    <w:uiPriority w:val="0"/>
    <w:pPr>
      <w:spacing w:line="560" w:lineRule="exact"/>
      <w:ind w:firstLine="200" w:firstLineChars="200"/>
    </w:pPr>
    <w:rPr>
      <w:rFonts w:ascii="宋体" w:hAnsi="宋体" w:eastAsia="宋体" w:cs="宋体"/>
      <w:sz w:val="28"/>
      <w:szCs w:val="20"/>
    </w:rPr>
  </w:style>
  <w:style w:type="paragraph" w:customStyle="1" w:styleId="5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2">
    <w:name w:val="26磅正文"/>
    <w:basedOn w:val="1"/>
    <w:qFormat/>
    <w:uiPriority w:val="0"/>
    <w:pPr>
      <w:spacing w:line="520" w:lineRule="exact"/>
      <w:ind w:firstLine="480" w:firstLineChars="200"/>
    </w:pPr>
    <w:rPr>
      <w:rFonts w:ascii="宋体" w:hAnsi="宋体" w:eastAsia="宋体" w:cs="Times New Roman"/>
      <w:color w:val="000000"/>
      <w:sz w:val="24"/>
      <w:szCs w:val="24"/>
    </w:rPr>
  </w:style>
  <w:style w:type="paragraph" w:customStyle="1" w:styleId="53">
    <w:name w:val="普通(网站)2"/>
    <w:basedOn w:val="1"/>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54">
    <w:name w:val="HtmlNormal"/>
    <w:basedOn w:val="1"/>
    <w:qFormat/>
    <w:uiPriority w:val="0"/>
    <w:pPr>
      <w:spacing w:before="100" w:beforeAutospacing="1" w:after="100" w:afterAutospacing="1"/>
      <w:jc w:val="left"/>
    </w:pPr>
    <w:rPr>
      <w:rFonts w:ascii="宋体" w:hAnsi="宋体" w:eastAsia="宋体" w:cs="Times New Roman"/>
      <w:kern w:val="0"/>
      <w:sz w:val="24"/>
      <w:szCs w:val="24"/>
    </w:rPr>
  </w:style>
  <w:style w:type="paragraph" w:customStyle="1" w:styleId="55">
    <w:name w:val="正文_4"/>
    <w:qFormat/>
    <w:uiPriority w:val="0"/>
    <w:pPr>
      <w:widowControl w:val="0"/>
      <w:jc w:val="both"/>
    </w:pPr>
    <w:rPr>
      <w:rFonts w:ascii="Calibri" w:hAnsi="Calibri" w:eastAsia="宋体" w:cs="Times New Roman"/>
      <w:kern w:val="2"/>
      <w:sz w:val="21"/>
      <w:szCs w:val="20"/>
      <w:lang w:val="en-US" w:eastAsia="zh-CN" w:bidi="ar-SA"/>
    </w:rPr>
  </w:style>
  <w:style w:type="paragraph" w:customStyle="1" w:styleId="56">
    <w:name w:val="Default"/>
    <w:next w:val="28"/>
    <w:qFormat/>
    <w:uiPriority w:val="0"/>
    <w:pPr>
      <w:widowControl w:val="0"/>
      <w:autoSpaceDE w:val="0"/>
      <w:autoSpaceDN w:val="0"/>
      <w:adjustRightInd w:val="0"/>
    </w:pPr>
    <w:rPr>
      <w:rFonts w:ascii="Calibri" w:hAnsi="Calibri" w:eastAsia="宋体" w:cs="Times New Roman"/>
      <w:snapToGrid w:val="0"/>
      <w:color w:val="000000"/>
      <w:kern w:val="0"/>
      <w:sz w:val="24"/>
      <w:szCs w:val="24"/>
      <w:lang w:val="en-US" w:eastAsia="zh-CN" w:bidi="ar-SA"/>
    </w:rPr>
  </w:style>
  <w:style w:type="paragraph" w:customStyle="1" w:styleId="57">
    <w:name w:val="表格标题"/>
    <w:basedOn w:val="1"/>
    <w:qFormat/>
    <w:uiPriority w:val="0"/>
    <w:pPr>
      <w:spacing w:before="120" w:line="320" w:lineRule="atLeast"/>
      <w:jc w:val="center"/>
    </w:pPr>
    <w:rPr>
      <w:rFonts w:ascii="Times New Roman" w:hAnsi="Times New Roman" w:eastAsia="宋体" w:cs="Times New Roman"/>
      <w:szCs w:val="24"/>
    </w:rPr>
  </w:style>
  <w:style w:type="paragraph" w:customStyle="1" w:styleId="58">
    <w:name w:val="Table Paragraph"/>
    <w:basedOn w:val="1"/>
    <w:qFormat/>
    <w:uiPriority w:val="1"/>
    <w:pPr>
      <w:autoSpaceDE w:val="0"/>
      <w:autoSpaceDN w:val="0"/>
      <w:jc w:val="left"/>
    </w:pPr>
    <w:rPr>
      <w:rFonts w:ascii="宋体" w:hAnsi="宋体" w:eastAsia="宋体" w:cs="宋体"/>
      <w:kern w:val="0"/>
      <w:sz w:val="22"/>
      <w:lang w:val="zh-CN" w:bidi="zh-CN"/>
    </w:rPr>
  </w:style>
  <w:style w:type="character" w:customStyle="1" w:styleId="59">
    <w:name w:val="表格内容 Char1"/>
    <w:link w:val="60"/>
    <w:qFormat/>
    <w:uiPriority w:val="0"/>
    <w:rPr>
      <w:color w:val="000000"/>
      <w:szCs w:val="28"/>
    </w:rPr>
  </w:style>
  <w:style w:type="paragraph" w:customStyle="1" w:styleId="60">
    <w:name w:val="表格内容"/>
    <w:basedOn w:val="1"/>
    <w:next w:val="1"/>
    <w:link w:val="59"/>
    <w:qFormat/>
    <w:uiPriority w:val="0"/>
    <w:pPr>
      <w:jc w:val="center"/>
    </w:pPr>
    <w:rPr>
      <w:color w:val="000000"/>
      <w:szCs w:val="28"/>
    </w:rPr>
  </w:style>
  <w:style w:type="character" w:customStyle="1" w:styleId="61">
    <w:name w:val="表格字体 Char"/>
    <w:link w:val="62"/>
    <w:qFormat/>
    <w:uiPriority w:val="0"/>
    <w:rPr>
      <w:color w:val="000000"/>
      <w:szCs w:val="20"/>
    </w:rPr>
  </w:style>
  <w:style w:type="paragraph" w:customStyle="1" w:styleId="62">
    <w:name w:val="表格字体"/>
    <w:basedOn w:val="1"/>
    <w:link w:val="61"/>
    <w:qFormat/>
    <w:uiPriority w:val="0"/>
    <w:pPr>
      <w:adjustRightInd w:val="0"/>
      <w:spacing w:line="320" w:lineRule="exact"/>
      <w:ind w:firstLine="640" w:firstLineChars="200"/>
      <w:jc w:val="center"/>
    </w:pPr>
    <w:rPr>
      <w:color w:val="000000"/>
      <w:szCs w:val="20"/>
    </w:rPr>
  </w:style>
  <w:style w:type="paragraph" w:customStyle="1" w:styleId="63">
    <w:name w:val="【正文】"/>
    <w:basedOn w:val="1"/>
    <w:qFormat/>
    <w:uiPriority w:val="0"/>
    <w:pPr>
      <w:spacing w:line="460" w:lineRule="exact"/>
      <w:ind w:firstLine="200" w:firstLineChars="200"/>
    </w:pPr>
    <w:rPr>
      <w:kern w:val="0"/>
      <w:sz w:val="24"/>
    </w:rPr>
  </w:style>
  <w:style w:type="paragraph" w:customStyle="1" w:styleId="64">
    <w:name w:val="表格1"/>
    <w:basedOn w:val="43"/>
    <w:qFormat/>
    <w:uiPriority w:val="0"/>
    <w:rPr>
      <w:color w:val="0000FF"/>
    </w:rPr>
  </w:style>
  <w:style w:type="paragraph" w:customStyle="1" w:styleId="65">
    <w:name w:val="样式 首行缩进:  2 字符"/>
    <w:basedOn w:val="1"/>
    <w:qFormat/>
    <w:uiPriority w:val="0"/>
    <w:pPr>
      <w:spacing w:line="300" w:lineRule="auto"/>
      <w:ind w:firstLine="480" w:firstLineChars="200"/>
    </w:pPr>
    <w:rPr>
      <w:sz w:val="24"/>
      <w:szCs w:val="20"/>
    </w:rPr>
  </w:style>
  <w:style w:type="paragraph" w:customStyle="1" w:styleId="66">
    <w:name w:val="表格文字2"/>
    <w:basedOn w:val="1"/>
    <w:qFormat/>
    <w:uiPriority w:val="0"/>
    <w:pPr>
      <w:tabs>
        <w:tab w:val="left" w:pos="277"/>
        <w:tab w:val="left" w:pos="600"/>
        <w:tab w:val="left" w:pos="780"/>
        <w:tab w:val="left" w:pos="2517"/>
      </w:tabs>
      <w:adjustRightInd w:val="0"/>
      <w:jc w:val="center"/>
    </w:pPr>
    <w:rPr>
      <w:rFonts w:ascii="宋体" w:hAnsi="宋体"/>
      <w:kern w:val="0"/>
      <w:sz w:val="20"/>
      <w:szCs w:val="21"/>
    </w:rPr>
  </w:style>
  <w:style w:type="table" w:customStyle="1" w:styleId="67">
    <w:name w:val="网格型3"/>
    <w:basedOn w:val="20"/>
    <w:qFormat/>
    <w:uiPriority w:val="0"/>
    <w:rPr>
      <w:rFonts w:ascii="Calibri" w:hAnsi="Calibri" w:eastAsia="宋体" w:cs="Calibri"/>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8">
    <w:name w:val="样式 表格"/>
    <w:basedOn w:val="1"/>
    <w:semiHidden/>
    <w:qFormat/>
    <w:uiPriority w:val="0"/>
    <w:pPr>
      <w:spacing w:line="240" w:lineRule="auto"/>
      <w:ind w:firstLine="0" w:firstLineChars="0"/>
      <w:jc w:val="center"/>
    </w:pPr>
    <w:rPr>
      <w:rFonts w:ascii="Times New Roman" w:hAnsi="Times New Roman" w:eastAsia="宋体"/>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image" Target="media/image2.jpeg"/><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image" Target="media/image1.jpeg"/><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theme" Target="theme/theme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oleObject" Target="embeddings/oleObject8.bin"/><Relationship Id="rId30" Type="http://schemas.openxmlformats.org/officeDocument/2006/relationships/oleObject" Target="embeddings/oleObject7.bin"/><Relationship Id="rId3" Type="http://schemas.openxmlformats.org/officeDocument/2006/relationships/footer" Target="footer1.xml"/><Relationship Id="rId29" Type="http://schemas.openxmlformats.org/officeDocument/2006/relationships/image" Target="media/image19.wmf"/><Relationship Id="rId28" Type="http://schemas.openxmlformats.org/officeDocument/2006/relationships/oleObject" Target="embeddings/oleObject6.bin"/><Relationship Id="rId27" Type="http://schemas.openxmlformats.org/officeDocument/2006/relationships/image" Target="media/image18.wmf"/><Relationship Id="rId26" Type="http://schemas.openxmlformats.org/officeDocument/2006/relationships/oleObject" Target="embeddings/oleObject5.bin"/><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wmf"/><Relationship Id="rId22" Type="http://schemas.openxmlformats.org/officeDocument/2006/relationships/oleObject" Target="embeddings/oleObject4.bin"/><Relationship Id="rId21" Type="http://schemas.openxmlformats.org/officeDocument/2006/relationships/image" Target="media/image14.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3.wmf"/><Relationship Id="rId18" Type="http://schemas.openxmlformats.org/officeDocument/2006/relationships/oleObject" Target="embeddings/oleObject2.bin"/><Relationship Id="rId17" Type="http://schemas.openxmlformats.org/officeDocument/2006/relationships/image" Target="media/image12.wmf"/><Relationship Id="rId16" Type="http://schemas.openxmlformats.org/officeDocument/2006/relationships/oleObject" Target="embeddings/oleObject1.bin"/><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62</Pages>
  <Words>28802</Words>
  <Characters>32689</Characters>
  <Lines>159</Lines>
  <Paragraphs>44</Paragraphs>
  <TotalTime>4</TotalTime>
  <ScaleCrop>false</ScaleCrop>
  <LinksUpToDate>false</LinksUpToDate>
  <CharactersWithSpaces>32770</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2021-04-15T02:43:00Z</dcterms:created>
  <dc:creator>微软用户</dc:creator>
  <cp:lastModifiedBy>常</cp:lastModifiedBy>
  <cp:lastPrinted>2021-09-07T15:37:00Z</cp:lastPrinted>
  <dcterms:modified xsi:type="dcterms:W3CDTF">2021-09-08T01:47:23Z</dcterms:modified>
  <cp:revision>94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27759DBBBA314E2EBB06D541C094E2C2</vt:lpwstr>
  </property>
</Properties>
</file>